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7F_76/2024 vom 25. Juni 2025</w:t>
      </w:r>
    </w:p>
    <w:p>
      <w:r>
        <w:t>Bundesgericht, 2025-06-25, FR</w:t>
      </w:r>
    </w:p>
    <w:p>
      <w:r>
        <w:rPr>
          <w:b/>
        </w:rPr>
        <w:t xml:space="preserve">Quelle: </w:t>
      </w:r>
      <w:r>
        <w:t>https://mcp.opencaselaw.ch/entscheid/bger_7F_76_2024</w:t>
      </w:r>
    </w:p>
    <w:p>
      <w:r>
        <w:t>FR: TF 7F_76/2024 du 25 juin 2025</w:t>
      </w:r>
    </w:p>
    <w:p>
      <w:r>
        <w:t>IT: TF 7F_76/2024 del 25 giugno 2025</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7F_22/2024 du 24 avril 2024 consid. 2.1; 6F_1/2024 du 3 avril 2024 consid. 3; 6F_35/2023 du 20 octobre 2023 consid. 1).</w:t>
      </w:r>
    </w:p>
    <w:p>
      <w:r>
        <w:rPr>
          <w:b/>
        </w:rPr>
        <w:t>E. 2</w:t>
      </w:r>
    </w:p>
    <w:p>
      <w:r>
        <w:t>En l'espèce, le requérant reproche à la Cour de céans d'avoir déclaré irrecevable le recours qu'il avait interjeté contre l'arrêt de la Chambre pénale de recours du 17 septembre 2024 sans avoir "examiné [s]es prétentions civiles légitimes, notamment les dommages moraux et les souffrances résultant de l'exposition ( art. 127 CP ) [et] de l'omission de prêter secours ( art. 128 CP ) ".</w:t>
      </w:r>
    </w:p>
    <w:p>
      <w:r>
        <w:t>Ce faisant, le requérant n'articule aucune motivation topique, conforme aux exigences en la matière, tendant à démontrer l'existence d'un motif de révision qui affecterait l'arrêt du 29 novembre 2024 (7B_1057/2024). Il n'explique en particulier pas quels faits pertinents ressortant du dossier n'auraient pas été pris en considération par le Tribunal fédéral s'agissant de la recevabilité de son recours. Il ne ressort en tout état de la requête présentée aucun moyen susceptible de conduire à la révision de l'arrêt précité.</w:t>
      </w:r>
    </w:p>
    <w:p>
      <w:r>
        <w:rPr>
          <w:b/>
        </w:rPr>
        <w:t>E. 3</w:t>
      </w:r>
    </w:p>
    <w:p>
      <w:r>
        <w:t>Il s'ensuit que la requête de révision doit être déclarée irrecevable.</w:t>
      </w:r>
    </w:p>
    <w:p>
      <w:r>
        <w:rPr>
          <w:b/>
        </w:rPr>
        <w:t>E. 4</w:t>
      </w:r>
    </w:p>
    <w:p>
      <w:r>
        <w:t>En tant que le requérant sollicite la désignation d'un avocat "pour [l']assister dans cette procédure de révision", on rappellera qu'en application de l' art. 41 al. 1 LTF , l'attribution d'un avocat par le Tribunal fédéral suppose une incapacité totale de la partie de procéder elle-même. La partie recourante, respectivement la partie requérante dans le cadre d'une demande de révision, est cependant tenue de veiller elle-même à ce que son écriture réponde aux exigences légales de motivation ( art. 42 al. 2 LTF ) et de mandater, au besoin, un avocat de son choix qui sollicitera l'octroi de l'assistance judiciaire (arrêts 7B_916/2024 du 9 octobre 2024 consid. 2; 6B_1354/2023 du 23 janvier 2024 consid. 21 et les réf. citées).</w:t>
      </w:r>
    </w:p>
    <w:p>
      <w:r>
        <w:t>Or en l'occurrence, le requérant, qui requiert l'attribution d'un avocat par le Tribunal fédéral "afin de présenter une demande de révision en bonne et due forme", n'allègue pas qu'en raison de son état de santé, il aurait été incapable de procéder par lui-même, ni n'expose en quoi il aurait été empêché de mandater un avocat de son choix. Il n'y a dès lors pas lieu de lui attribuer un avocat conformément à l' art. 41 al. 1 LTF .</w:t>
      </w:r>
    </w:p>
    <w:p>
      <w:r>
        <w:rPr>
          <w:b/>
        </w:rPr>
        <w:t>E. 5</w:t>
      </w:r>
    </w:p>
    <w:p>
      <w:r>
        <w:t>Il sera exceptionnellement statué sans frais (art. 66 al. 1, 2</w:t>
      </w:r>
    </w:p>
    <w:p>
      <w:r>
        <w:t>e phr.,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