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7F_6/2024 vom 2. Juli 2024</w:t>
      </w:r>
    </w:p>
    <w:p>
      <w:r>
        <w:t>Bundesgericht, 2024-07-02, DE</w:t>
      </w:r>
    </w:p>
    <w:p>
      <w:r>
        <w:rPr>
          <w:b/>
        </w:rPr>
        <w:t xml:space="preserve">Quelle: </w:t>
      </w:r>
      <w:r>
        <w:t>https://mcp.opencaselaw.ch/entscheid/bger_7F_6_2024</w:t>
      </w:r>
    </w:p>
    <w:p>
      <w:r>
        <w:t>FR: TF 7F_6/2024 du 2 juillet 2024</w:t>
      </w:r>
    </w:p>
    <w:p>
      <w:r>
        <w:t>IT: TF 7F_6/2024 del 2 luglio 2024</w:t>
      </w:r>
    </w:p>
    <w:p>
      <w:pPr>
        <w:pStyle w:val="Heading2"/>
      </w:pPr>
      <w:r>
        <w:t>Erwägungen</w:t>
      </w:r>
    </w:p>
    <w:p>
      <w:r>
        <w:rPr>
          <w:b/>
        </w:rPr>
        <w:t>E. 1</w:t>
      </w:r>
    </w:p>
    <w:p>
      <w:r>
        <w:t>Der Gesuchsteller stellte ein Ausstandsgesuch gegen Bundesrichterin Koch in allen ihn betreffenden Verfahren. Dieses Gesuch wurde im ihn betreffenden Urteil 7B_951/2023 vom 11. Juni 2024 in E. 2 abgewiesen. Darauf kann verwiesen werden.</w:t>
      </w:r>
    </w:p>
    <w:p>
      <w:r>
        <w:rPr>
          <w:b/>
        </w:rPr>
        <w:t>E. 2</w:t>
      </w:r>
    </w:p>
    <w:p>
      <w:r>
        <w:t>Soweit der Gesuchsteller zudem in seinem Revisionsgesuch geltend macht, er sei verhandlungsunfähig, kann ebenfalls auf das ihn betreffende Urteil 7B_951/2023 vom 11. Juni 2024 ver wiesen werden, wo in E. 3 festgehalten wurde, dass die Voraussetzungen für die Bejahung einer Prozessunfähigkeit gemäss Art. 41 BGG zu verneinen sind.</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4</w:t>
      </w:r>
    </w:p>
    <w:p>
      <w:r>
        <w:t>Der Gesuchsteller macht geltend, das Bundesgericht habe in den Akten liegende erhebliche Tatsachen aus Versehen nicht berücksichtigt. Richter Christian Prinz sei tatsächlich Zeuge und sei nach dem Beschluss vom 13. September 2023 in den Ausstand getreten. Somit sei die Tatsache eingetreten, dass dieser Beschluss von einem befangenen Richter unterschrieben worden sei.</w:t>
      </w:r>
    </w:p>
    <w:p>
      <w:r>
        <w:rPr>
          <w:b/>
        </w:rPr>
        <w:t>E. 5</w:t>
      </w:r>
    </w:p>
    <w:p>
      <w:r>
        <w:t>Art. 121 lit. d BGG , der als Revisionsgrund am ehesten in Frage kommen würde, erlaubt die Revision nur, wenn im streitigen Urteil erhebliche Tatsachen unberücksichtigt geblieben sind. Aus dem Umstand, dass gemäss der unsubstanziierten Behauptung des Gesuchstellers der Gesuchsgegner angeblich nach dem Beschluss vom 13. September 2023 in den Ausstand getreten sei, kann der Gesuchsteller nichts zu seinen Gunsten ableiten. Selbst falls der Gesuchsgegner nach dem Beschluss tatsächlich in den Ausstand getreten wäre, hat das Bundesgericht im Urteilszeitpunkt keine erheblichen Tatsachen aus Versehen unberücksichtigt gelassen. Damit liegt kein Revisionsgrund vor und das Revisionsgesuch ist abzuweisen.</w:t>
      </w:r>
    </w:p>
    <w:p>
      <w:r>
        <w:rPr>
          <w:b/>
        </w:rPr>
        <w:t>E. 6</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