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7F_49/2024 vom 22. Oktober 2024</w:t>
      </w:r>
    </w:p>
    <w:p>
      <w:r>
        <w:t>Bundesgericht, 2024-10-22, DE</w:t>
      </w:r>
    </w:p>
    <w:p>
      <w:r>
        <w:rPr>
          <w:b/>
        </w:rPr>
        <w:t xml:space="preserve">Quelle: </w:t>
      </w:r>
      <w:r>
        <w:t>https://mcp.opencaselaw.ch/entscheid/bger_7F_49_2024</w:t>
      </w:r>
    </w:p>
    <w:p>
      <w:r>
        <w:t>FR: TF 7F_49/2024 du 22 octobre 2024</w:t>
      </w:r>
    </w:p>
    <w:p>
      <w:r>
        <w:t>IT: TF 7F_49/2024 del 22 ottobre 2024</w:t>
      </w:r>
    </w:p>
    <w:p>
      <w:pPr>
        <w:pStyle w:val="Heading2"/>
      </w:pPr>
      <w:r>
        <w:t>Erwägungen</w:t>
      </w:r>
    </w:p>
    <w:p>
      <w:r>
        <w:rPr>
          <w:b/>
        </w:rPr>
        <w:t>E. 1</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Versehensrüge (lit. d). Es obliegt der gesuchstellenden Person, aufzuzeigen, inwiefern Revisionsgründe gegeben sind ( Art. 42 Abs. 2 BGG ). Der Revisionsgrund hat sich auf den Gegenstand des zu revidierenden Urteils zu beziehen; handelt es sich dabei - wie vorliegend - um einen Nichteintretensentscheid, muss der Revisionsgrund die Nichteintretensmotive beschlagen.</w:t>
      </w:r>
    </w:p>
    <w:p>
      <w:r>
        <w:rPr>
          <w:b/>
        </w:rPr>
        <w:t>E. 2</w:t>
      </w:r>
    </w:p>
    <w:p>
      <w:r>
        <w:t>Die Gesuchstellerin macht geltend, betreffend die bundesgerichtliche Erwägung im angefochtenen Urteil, sie habe die Beeinträchtigung ihrer Integrität nicht hinlänglich begründet, verweise sie "auf den mir drohenden Eintrag im Strafregister, der sich aus der Sache selbst ergibt und dem Bundesgericht auch ohne ausführliche Erläuterungen erkennbar sein muss". Auf ihr Rechtsbegehren Nr. 1 gehe das Bundesgericht an keiner Stelle ein und Rechtsbegehren Nr. 4 werde im Urteil "unter Auslassung einer Null falsch zitiert".</w:t>
      </w:r>
    </w:p>
    <w:p>
      <w:r>
        <w:rPr>
          <w:b/>
        </w:rPr>
        <w:t>E. 3</w:t>
      </w:r>
    </w:p>
    <w:p>
      <w:r>
        <w:t>Das Bundesgericht ist mit Urteil 7B_587/2024 vom 7. Juni 2024 mangels (ausgewiesener) Legitimation in Anwendung von Art. 108 BGG nicht auf die Beschwerde vom 24. Mai 2024 eingetreten. Eine materielle Prüfung des dort angefochtenen Beschlusses konnte damit nicht erfolgen, weshalb das Rechtsbegehren Nr. 1 auch nicht zu beurteilen war. Diese formell-rechtliche Würdigung lässt sich als solche im Revisionsverfahren nicht überprüfen.</w:t>
      </w:r>
    </w:p>
    <w:p>
      <w:r>
        <w:t>Darüber hinaus macht die Gesuchstellerin keinen Revisionsgrund gemäss Art. 121-123 BGG geltend. Mit ihrer rein appellatorischen Kritik am angefochtenen Urteil soll allenfalls sinngemäss eine Wiedererwägung des angefochtenen Urteils erzielt werden. Das Bundesgerichtsgesetz sieht die Wiedererwägung von rechtskräftigen Urteilen nicht vor.</w:t>
      </w:r>
    </w:p>
    <w:p>
      <w:r>
        <w:t>Soweit die Gesuchstellerin schliesslich erwähnt, ihr Rechtsbegehren Nr. 4 sei im angefochtenen Urteil falsch zitiert worden, so handelt es sich um ein offensichtliches Versehen beziehungsweise einen Verschrieb, woraus sie jedenfalls nichts zu ihren Gunsten ableiten kann.</w:t>
      </w:r>
    </w:p>
    <w:p>
      <w:r>
        <w:rPr>
          <w:b/>
        </w:rPr>
        <w:t>E. 4</w:t>
      </w:r>
    </w:p>
    <w:p>
      <w:r>
        <w:t>Damit liegt kein Revisionsgrund vor und das Revisionsgesuch ist abzuweisen. Bei diesem Ausgang des Verfahrens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