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7F_43/2024 vom 1. Oktober 2024</w:t>
      </w:r>
    </w:p>
    <w:p>
      <w:r>
        <w:t>Bundesgericht, 2024-10-01, DE</w:t>
      </w:r>
    </w:p>
    <w:p>
      <w:r>
        <w:rPr>
          <w:b/>
        </w:rPr>
        <w:t xml:space="preserve">Quelle: </w:t>
      </w:r>
      <w:r>
        <w:t>https://mcp.opencaselaw.ch/entscheid/bger_7F_43_2024</w:t>
      </w:r>
    </w:p>
    <w:p>
      <w:r>
        <w:t>FR: TF 7F_43/2024 du 1 octobre 2024</w:t>
      </w:r>
    </w:p>
    <w:p>
      <w:r>
        <w:t>IT: TF 7F_43/2024 del 1 ottobre 2024</w:t>
      </w:r>
    </w:p>
    <w:p>
      <w:pPr>
        <w:pStyle w:val="Heading2"/>
      </w:pPr>
      <w:r>
        <w:t>Erwägungen</w:t>
      </w:r>
    </w:p>
    <w:p>
      <w:r>
        <w:rPr>
          <w:b/>
        </w:rPr>
        <w:t>E. 1</w:t>
      </w:r>
    </w:p>
    <w:p>
      <w:r>
        <w:t>Mit Urteil 7B_414/2024 vom 28. Mai 2024 trat das Bundesgericht aus formellen Gründen nicht auf die Beschwerde von A.________ gegen die Verfügung des Obergerichts des Kantons Zürich vom 22. März 2024 (Verfahren UE240065-O/U/SBA) ein.</w:t>
      </w:r>
    </w:p>
    <w:p>
      <w:r>
        <w:rPr>
          <w:b/>
        </w:rPr>
        <w:t>E. 2</w:t>
      </w:r>
    </w:p>
    <w:p>
      <w:r>
        <w:t>A.________ stellt mit Eingabe vom 22. Juli 2024 ein Revisionsgesuch. Das Urteil sei "aufzuheben", da es von einer befangenen Richterin gefällt worden sei.</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4.1</w:t>
      </w:r>
    </w:p>
    <w:p>
      <w:r>
        <w:t>Verfahrensgegenstand bildet vorliegend das Urteil 7B_414/2024 vom 28. Mai 2024. Mit diesem Urteil ist das Bundesgericht nicht auf die Beschwerde des Gesuchstellers eingetreten, da diese keine den gesetzlichen Begründungsanforderungen genügende Begründung enthalten habe. Es erwog, der Beschwerde könne nicht entnommen werden, inwiefern eine Rechtsverletzung im Sinne von Art. 95 BGG vorliege. Ebenso wenig ergebe sich aus ihr, weshalb der Gesuchsteller als Privatkläger zur Beschwerde legitimiert sei. Da der Gesuchsteller auch keine Verletzung von Verfahrensrechten geltend mache, deren Missachtung einer formellen Rechtsverweigerung gleichkomme (Star-Praxis, BGE 146 IV 76 E. 2; 141 IV 1 E. 1.1), könne daraus nicht auf eine Beschwerdelegitimation geschlossen werden. Auch das Ausstandsgesuch des Gesuchstellers entspreche nicht den Begründungsanforderungen. Im Übrigen reiche die Tatsache, dass Bundesrichterin Koch an einem anderen bundesgerichtlichen Beschwerdeverfahren mitgewirkt habe, in dem der Gesuchsteller erfolglos geblieben war, für sich allein nicht als Ausstandsgrund (vgl. Art. 34 Abs. 2 BGG ) aus.</w:t>
      </w:r>
    </w:p>
    <w:p>
      <w:r>
        <w:rPr>
          <w:b/>
        </w:rPr>
        <w:t>E. 4.2</w:t>
      </w:r>
    </w:p>
    <w:p>
      <w:r>
        <w:t>Der Gesuchsteller setzt sich in seinem Revisionsgesuch nicht mit der Begründung des angefochtenen Entscheids auseinander, sondern wiederholt lediglich seine bereits im Beschwerdeverfahren aufgestellten Behauptungen zur Befangenheit von Bundesrichterin Koch. Mit seinen Vorbringen zielt der Gesuchsteller auf eine Wiedererwägung des angefochtenen Urteils ab, welche das Rechtsmittel der Revision nicht erlaubt.</w:t>
      </w:r>
    </w:p>
    <w:p>
      <w:r>
        <w:t>Dass und inwiefern das Bundesgericht mit dem von ihm getroffenen Nichteintretensentscheid einen Revisionsgrund gemäss Art. 121 ff. BGG gesetzt haben könnte, zeigt der Gesuchsteller in seinen Eingaben vom 22. Juli 2024 und vom 31. Juli 2024 nicht auf. Ein solcher ist auch nicht ansatzweise ersichtlich. Auf das Revisionsgesuch ist nicht einzutreten.</w:t>
      </w:r>
    </w:p>
    <w:p>
      <w:r>
        <w:rPr>
          <w:b/>
        </w:rPr>
        <w:t>E. 5</w:t>
      </w:r>
    </w:p>
    <w:p>
      <w:r>
        <w:t>Zur Eingabe vom 31. Juli 2024, die in keinem erkennbaren Zusammenhang mit der in diesem Revisionsverfahren behandelten Sache steht, ist festzuhalten, dass das Bundesgericht weder für die Entgegennahme und Behandlung von (allfälligen) Strafanzeigen zuständig noch zu deren Weiterleitung verpflichtet ist.</w:t>
      </w:r>
    </w:p>
    <w:p>
      <w:r>
        <w:rPr>
          <w:b/>
        </w:rPr>
        <w:t>E. 6</w:t>
      </w:r>
    </w:p>
    <w:p>
      <w:r>
        <w:t>Auf das Revisionsgesuch ist nicht einzutreten. Die Gerichtskosten sind dem Gesuchsteller aufzuerlegen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