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7F_33/2025 vom 22. Oktober 2025</w:t>
      </w:r>
    </w:p>
    <w:p>
      <w:r>
        <w:t>Bundesgericht, 2025-10-22, DE</w:t>
      </w:r>
    </w:p>
    <w:p>
      <w:r>
        <w:rPr>
          <w:b/>
        </w:rPr>
        <w:t xml:space="preserve">Quelle: </w:t>
      </w:r>
      <w:r>
        <w:t>https://mcp.opencaselaw.ch/entscheid/bger_7F_33_2025</w:t>
      </w:r>
    </w:p>
    <w:p>
      <w:r>
        <w:t>FR: TF 7F_33/2025 du 22 octobre 2025</w:t>
      </w:r>
    </w:p>
    <w:p>
      <w:r>
        <w:t>IT: TF 7F_33/2025 del 22 ottobre 2025</w:t>
      </w:r>
    </w:p>
    <w:p>
      <w:pPr>
        <w:pStyle w:val="Heading2"/>
      </w:pPr>
      <w:r>
        <w:t>Erwägungen</w:t>
      </w:r>
    </w:p>
    <w:p>
      <w:r>
        <w:rPr>
          <w:b/>
        </w:rPr>
        <w:t>E. 1</w:t>
      </w:r>
    </w:p>
    <w:p>
      <w:r>
        <w:t>Entscheide des Bundesgerichts erwachsen am Tag ihrer Ausfällung in Rechtskraft ( Art. 61 BGG ). Das Bundesgericht kann auf seine Urteile nur zurückkommen, wenn einer der in den Art. 121 ff. BGG abschliessend aufgeführten Revisionsgründe vorliegt ( BGE 150 I 99 E. 1.1; 149 III 93 E. 1.1; 147 III 238 E. 1.1; 147 III 238 E. 1.2.1). Die um Revision eines bundesgerichtlichen Urteils ersuchende Person hat gemäss Art. 42 Abs. 1 und 2 BGG namentlich einen vom Gesetz vorgesehenen Revisionsgrund zu nennen und aufzuzeigen, weshalb das Urteil an einem revisionserheblichen Mangel leidet; fehlt eine entsprechende Begründung, wird auf das Gesuch nicht eingetreten ( BGE 150 I 99 E. 1.1; 147 III 238 E. 1.2.1).</w:t>
      </w:r>
    </w:p>
    <w:p>
      <w:r>
        <w:t>Der Revisionsgrund hat sich auf den Gegenstand des zu revidierenden Urteils zu beziehen; handelt es sich dabei um einen Nichteintretensentscheid, muss der Revisionsgrund die Nichteintretensmotive beschlagen. Die Revision eröffnet dem Gesuchsteller insbesondere nicht die Möglichkeit, die Rechtslage erneut zu diskutieren und eine Wiedererwägung des bundesgerichtlichen Urteils zu verlangen, das er für unrichtig hält (statt vieler: Urteile 7F_30/2025 vom 29. August 2025 E. 3; 7F_28/2025 vom 17. Juli 2025; je mit Hinweisen).</w:t>
      </w:r>
    </w:p>
    <w:p>
      <w:r>
        <w:rPr>
          <w:b/>
        </w:rPr>
        <w:t>E. 2</w:t>
      </w:r>
    </w:p>
    <w:p>
      <w:r>
        <w:t>Der Gesuchsteller setzt sich in seinem Revisionsgesuch nicht mit der Begründung im angefochtenen Urteil auseinander. Er macht einzig geltend, er sei seit über 18 Monaten gesundheitlich stark beeinträchtigt und es bestehe der begründete Verdacht, dass er vorsätzlich vergiftet wurde. Seine Bitte, den Fall erneut zu prüfen und eine neue Untersuchung zuzulassen, zielt einzig auf eine Wiedererwägung des angefochtenen Urteils ab. Eine solche erlaubt das Rechtsmittel der Revision jedoch nicht (vgl. E. 1 hiervor). Dass und inwiefern das Bundesgericht mit dem von ihm getroffenen Nichteintretensentscheid einen Revisionsgrund gemäss Art. 121 ff. BGG gesetzt haben könnte, zeigt der Gesuchsteller in seiner Eingabe nicht auf. Ein Revisionsgrund ist auch nicht ersichtlich. Auf das Revisionsgesuch ist nicht einzutreten.</w:t>
      </w:r>
    </w:p>
    <w:p>
      <w:r>
        <w:rPr>
          <w:b/>
        </w:rPr>
        <w:t>E. 3</w:t>
      </w:r>
    </w:p>
    <w:p>
      <w:r>
        <w:t>Die Gerichtskosten sind dem Gesuchsteller aufzuerlegen ( Art. 66 Abs. 1 BGG ). Das Gesuch um unentgeltliche Rechtspflege ist wegen offensichtlicher Aussichtslosigkeit des Revisionsgesuchs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