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7F_14/2025 vom 29. April 2025</w:t>
      </w:r>
    </w:p>
    <w:p>
      <w:r>
        <w:t>Bundesgericht, 2025-04-29, DE</w:t>
      </w:r>
    </w:p>
    <w:p>
      <w:r>
        <w:rPr>
          <w:b/>
        </w:rPr>
        <w:t xml:space="preserve">Quelle: </w:t>
      </w:r>
      <w:r>
        <w:t>https://mcp.opencaselaw.ch/entscheid/bger_7F_14_2025</w:t>
      </w:r>
    </w:p>
    <w:p>
      <w:r>
        <w:t>FR: TF 7F_14/2025 du 29 avril 2025</w:t>
      </w:r>
    </w:p>
    <w:p>
      <w:r>
        <w:t>IT: TF 7F_14/2025 del 29 aprile 2025</w:t>
      </w:r>
    </w:p>
    <w:p>
      <w:pPr>
        <w:pStyle w:val="Heading2"/>
      </w:pPr>
      <w:r>
        <w:t>Erwägungen</w:t>
      </w:r>
    </w:p>
    <w:p>
      <w:r>
        <w:rPr>
          <w:b/>
        </w:rPr>
        <w:t>E. 1</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der Gesuchstellerin nicht die Möglichkeit, die Rechtslage erneut zu diskutieren und eine Wiedererwägung des bundesgerichtlichen Urteils zu verlangen, das sie für unrichtig hält (statt vieler: Urteil 7F_74/2024 vom 14. Februar 2025 E. 3 mit Hinweisen).</w:t>
      </w:r>
    </w:p>
    <w:p>
      <w:r>
        <w:rPr>
          <w:b/>
        </w:rPr>
        <w:t>E. 2</w:t>
      </w:r>
    </w:p>
    <w:p>
      <w:r>
        <w:t>Der Gesuchsteller zeigt in seinem als "Widerspruch" betitelten Schreiben, in welchem er sich darauf beschränkt, inhaltliche Ausführungen zum angeblichen Betrug zu machen, nicht auf, inwiefern das Bundesgericht mit dem von ihm getroffenen Nichteintretensentscheid einen Revisionsgrund gemäss Art. 121 ff. BGG gesetzt haben könnte. Ein Revisionsgrund ist im Übrigen auch nicht ersichtlich. Soweit der Gesuchsteller auf eine Wiedererwägung des angefochtenen Urteils abzielt, erlaubt dies das Rechtsmittel der Revision von vornherein nicht (vgl. E. 1 hiervor).</w:t>
      </w:r>
    </w:p>
    <w:p>
      <w:r>
        <w:rPr>
          <w:b/>
        </w:rPr>
        <w:t>E. 3</w:t>
      </w:r>
    </w:p>
    <w:p>
      <w:r>
        <w:t>Auf das Revisionsgesuch ist nicht einzutreten.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