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7B_992/2024 vom 2. Oktober 2025</w:t>
      </w:r>
    </w:p>
    <w:p>
      <w:r>
        <w:t>Bundesgericht, 2025-10-02, DE</w:t>
      </w:r>
    </w:p>
    <w:p>
      <w:r>
        <w:rPr>
          <w:b/>
        </w:rPr>
        <w:t xml:space="preserve">Quelle: </w:t>
      </w:r>
      <w:r>
        <w:t>https://mcp.opencaselaw.ch/entscheid/bger_7B_992_2024</w:t>
      </w:r>
    </w:p>
    <w:p>
      <w:r>
        <w:t>FR: TF 7B_992/2024 du 2 octobre 2025</w:t>
      </w:r>
    </w:p>
    <w:p>
      <w:r>
        <w:t>IT: TF 7B_992/2024 del 2 ottobre 2025</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w:t>
      </w:r>
    </w:p>
    <w:p>
      <w:r>
        <w:rPr>
          <w:b/>
        </w:rPr>
        <w:t>E. 1.2.1</w:t>
      </w:r>
    </w:p>
    <w:p>
      <w:r>
        <w:t>Wie sich aus den Anordnungen der Staatsanwaltschaft vom 29. und 30. Januar 2024 ergibt, dienen die angeordneten Zwangsmassnahmen einzig der Aufklärung der Straftaten, deren der Beschwerdeführer im laufenden Strafverfahren verdächtigt wird. Ihnen kommt somit keine über das Strafverfahren hinausgehende, eigenständige Bedeutung zu. Beim angefochtenen Entscheid handelt es sich deshalb um einen Zwischenentscheid im Sinne von Art. 93 BGG (zum Ganzen Urteil 7B_95/2022 vom 8. April 2024 E. 1.2-1.3 mit Hinweisen).</w:t>
      </w:r>
    </w:p>
    <w:p>
      <w:r>
        <w:rPr>
          <w:b/>
        </w:rPr>
        <w:t>E. 1.2.2</w:t>
      </w:r>
    </w:p>
    <w:p>
      <w:r>
        <w:t>Gegen einen Zwischenentscheid gemäss Art. 93 Abs. 1 BGG ist die Beschwerde nur zulässig, wenn er einen nicht wieder gutzumachenden Nachteil rechtlicher Natur bewirken kann (lit. a; BGE 144 IV 321 E. 2.3; 133 IV 139 E. 4) oder, was vorliegend von vornherein nicht zutrifft,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wenn möglich nur einmal mit einer Sache befassen ( BGE 135 II 30 E. 1.3.2). Gegen einstweilen nicht anfechtbare Zwischenentscheide steht die Beschwerde daher erst im Anschluss an den Endentscheid offen (vgl. Art. 93 Abs. 3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1.2.3</w:t>
      </w:r>
    </w:p>
    <w:p>
      <w:r>
        <w:t>Der Beschwerdeführer legt nicht nachvollziehbar dar, inwiefern der angefochtene Entscheid einen nicht wieder gutzumachenden Nachteil rechtlicher Natur bewirken könnte. Ein solcher liegt praxisgemäss auch nicht vor (vgl. z.B. Urteile 7B_95/2022 vom 8. April 2024 E. 1.2; 1B_103/2023 vom 2. März 2023 E. 3.2; im Allgemeinen BGE 141 IV 289 E. 1-2).</w:t>
      </w:r>
    </w:p>
    <w:p>
      <w:r>
        <w:rPr>
          <w:b/>
        </w:rPr>
        <w:t>E. 1.2.4</w:t>
      </w:r>
    </w:p>
    <w:p>
      <w:r>
        <w:t>Der angefochtene Entscheid ist somit unter dem Gesichtspunkt von Art. 93 Abs. 1 BGG nicht anfechtbar. Der Beschwerdeführer wird die Rechtmässigkeit der Anordnungen bzw. die Verwertbarkeit der Beweismittel im Hauptverfahren in Frage stellen können.</w:t>
      </w:r>
    </w:p>
    <w:p>
      <w:r>
        <w:rPr>
          <w:b/>
        </w:rPr>
        <w:t>E. 2</w:t>
      </w:r>
    </w:p>
    <w:p>
      <w:r>
        <w:t>Auf die Beschwerde ist nicht einzutreten. Der Beschwerdeführer ist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