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7B_98/2026 vom 19. Februar 2026</w:t>
      </w:r>
    </w:p>
    <w:p>
      <w:r>
        <w:t>Bundesgericht, 2026-02-19, FR</w:t>
      </w:r>
    </w:p>
    <w:p>
      <w:r>
        <w:rPr>
          <w:b/>
        </w:rPr>
        <w:t xml:space="preserve">Quelle: </w:t>
      </w:r>
      <w:r>
        <w:t>https://mcp.opencaselaw.ch/entscheid/bger_7B_98_2026</w:t>
      </w:r>
    </w:p>
    <w:p>
      <w:r>
        <w:t>FR: TF 7B_98/2026 du 19 février 2026</w:t>
      </w:r>
    </w:p>
    <w:p>
      <w:r>
        <w:t>IT: TF 7B_98/2026 del 19 febbraio 2026</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w:t>
      </w:r>
    </w:p>
    <w:p>
      <w:r>
        <w:t>En vertu de l' art. 42 al. 1 LTF , il incombe à la partie recourante d'exposer de manière précise les éléments fondant ses prétentions civiles, notamment en alléguant et en chiffrant dans la mesure du possible le dommage subi (arrêts 7B_342/2024 du 13 mai 2024 consid. 1.1; 7B_41/2022 du 20 mars 2024 consid. 1.2.2).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(arrêts 7B_76/2025 du 26 février 2025 consid. 1.1; 7B_745/2024 du 4 septembre 2024 consid. 2.1).</w:t>
      </w:r>
    </w:p>
    <w:p>
      <w:r>
        <w:rPr>
          <w:b/>
        </w:rPr>
        <w:t>E. 1.2.2</w:t>
      </w:r>
    </w:p>
    <w:p>
      <w:r>
        <w:t>En l'espèce, le recourant - qui se limite à articuler des arguments de fond dans une motivation essentiellement prolixe - ne dit mot sur d'éventuelles prétentions civiles qu'il pourrait faire valoir envers les personnes contre lesquelles il a déposé plainte pénale pour calomnie, diffamation et "harcèlement moral au travail". Il n'allègue pas, ni ne chiffre, l'éventuel dommage qu'il aurait subi en raison du ou des comportements dénoncés pénalement. L'existence de prétentions civiles ne peut en outre pas être déduite, directement et sans ambiguïté, de la nature des infractions telles qu'alléguées.</w:t>
      </w:r>
    </w:p>
    <w:p>
      <w:r>
        <w:t>Le recourant ne démontre par conséquent pas avoir qualité pour recourir sur le fond en application de l'art. 81 al. 1 let. a et b ch. 5 LTF.</w:t>
      </w:r>
    </w:p>
    <w:p>
      <w:r>
        <w:rPr>
          <w:b/>
        </w:rPr>
        <w:t>E. 1.3</w:t>
      </w:r>
    </w:p>
    <w:p>
      <w:r>
        <w:t>S'agissant de l'hypothèse visée à l'art. 81 al. 1 let. b ch. 6 LTF, elle n'entre pas en considération, le recourant ne soulevant aucun grief recevable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Tel n'est pas le cas en l'occurrence, le recourant ne présentant pas - du moins pas de manière compréhensible, respectivement conforme aux exigences de motivation posées aux art. 42 al. 2 LTF (cf. ATF 148 IV 205 consid. 2.6) et 106 al. 2 LTF (cf. ATF 146 I 62 consid. 3) - de grief susceptible d'être examiné à ce titre.</w:t>
      </w:r>
    </w:p>
    <w:p>
      <w:r>
        <w:rPr>
          <w:b/>
        </w:rPr>
        <w:t>E. 2</w:t>
      </w:r>
    </w:p>
    <w:p>
      <w:r>
        <w:t>Ne répondant manifestement pas aux exigences de recevabilité d'un recours en matière pénale au Tribunal fédéral, le recours doit être déclaré irrecevable selon la procédure simplifiée prévue par l' art. 108 al. 1 let. a LTF .</w:t>
      </w:r>
    </w:p>
    <w:p>
      <w:r>
        <w:t>Comme le recours était d'emblée dénué de chances de succès, la demande d'assistance judiciaire doit être rejetée ( art. 64 al. 1 LTF ), ce qui relève également de la compétence du juge unique prévue par l' art. 108 LTF ( art. 64 al. 3 2 e phrase LTF; arrêt 7B_177/2025 du 21 mars 2025 consid. 3).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