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7B_986/2024 vom 27. Dezember 2024</w:t>
      </w:r>
    </w:p>
    <w:p>
      <w:r>
        <w:t>Bundesgericht, 2024-12-27, FR</w:t>
      </w:r>
    </w:p>
    <w:p>
      <w:r>
        <w:rPr>
          <w:b/>
        </w:rPr>
        <w:t xml:space="preserve">Quelle: </w:t>
      </w:r>
      <w:r>
        <w:t>https://mcp.opencaselaw.ch/entscheid/bger_7B_986_2024</w:t>
      </w:r>
    </w:p>
    <w:p>
      <w:r>
        <w:t>FR: TF 7B_986/2024 du 27 décembre 2024</w:t>
      </w:r>
    </w:p>
    <w:p>
      <w:r>
        <w:t>IT: TF 7B_986/2024 del 27 dicembre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En l'espèce, l'arrêt attaqué déclare irrecevable le recours dirigé contre l'ordonnance de disjonction rendue par le Ministère public, tout en l'examinant néanmoins sur le fond, considérant qu'il devrait de toute manière être rejeté. L'arrêt attaqué ne met dès lors pas fin à la procédure pénale ouverte contre la recourante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144 IV 321 consid. 2.3). Il incombe à la partie recourante d'alléguer et d'établir la possibilité que la décision incidente lui cause un tel dommage, à moins que celui-ci ne fasse d'emblée aucun doute ( ATF 149 II 170 consid. 1.3; 147 III 159 consid. 4.1).</w:t>
      </w:r>
    </w:p>
    <w:p>
      <w:r>
        <w:rPr>
          <w:b/>
        </w:rPr>
        <w:t>E. 1.2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 arrêt 7B_935/2024 du 18 octobre 2024 consid. 1).</w:t>
      </w:r>
    </w:p>
    <w:p>
      <w:r>
        <w:rPr>
          <w:b/>
        </w:rPr>
        <w:t>E. 1.3</w:t>
      </w:r>
    </w:p>
    <w:p>
      <w:r>
        <w:t>La recourante ne se prononce ni sur les motifs ayant amené l'autorité précédente à considérer le recours irrecevable (cf. art. 382 al. 1 CPP ) ni sur les raisons évoquées par celle-ci pour le rejeter sur le fond. Elle ne se détermine pas non plus sur la question du préjudice irréparable. Elle se contente de faire valoir son point de vue sur les faits qui lui sont reprochés ainsi que sur le litige qui l'oppose à B.________ et à C.________, se référant en outre à des procédures qui seraient en cours devant le Tribunal des baux et loyers de la République et canton de Genève, qui ne sont pas l'objet de la présente affaire. L'existence d'un préjudice irréparable n'est au surplus pas manifeste dès lors que la prévenue ne peut pas se prévaloir d'un droit inconditionnel et absolu à être jugée conjointement avec les prévenus B.________ et C.________ (cf. art. 30 CPP ). Au demeurant, la disjonction des causes a été prononcée afin de permettre le jugement rapide des autres prévenus alors que la recourante fait l'objet d'une autre procédure en cours, ce que cette dernière ne conteste pas. Elle ne soulève aucun argument permettant de tenir pour arbitraire ou d'une autre manière contraire au droit l'arrêt attaqué qui admet la présence de raisons objectives pour confirmer l'ordonnance de disjonction de causes.</w:t>
      </w:r>
    </w:p>
    <w:p>
      <w:r>
        <w:rPr>
          <w:b/>
        </w:rPr>
        <w:t>E. 2</w:t>
      </w:r>
    </w:p>
    <w:p>
      <w:r>
        <w:t>Le recours doit par conséquent être déclaré irrecevable selon la procédure simplifiée prévue par l' art. 108 al. 1 let. a 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