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7B_984/2025 vom 9. Januar 2026</w:t>
      </w:r>
    </w:p>
    <w:p>
      <w:r>
        <w:t>Bundesgericht, 2026-01-09, FR</w:t>
      </w:r>
    </w:p>
    <w:p>
      <w:r>
        <w:rPr>
          <w:b/>
        </w:rPr>
        <w:t xml:space="preserve">Quelle: </w:t>
      </w:r>
      <w:r>
        <w:t>https://mcp.opencaselaw.ch/entscheid/bger_7B_984_2025</w:t>
      </w:r>
    </w:p>
    <w:p>
      <w:r>
        <w:t>FR: TF 7B_984/2025 du 9 janvier 2026</w:t>
      </w:r>
    </w:p>
    <w:p>
      <w:r>
        <w:t>IT: TF 7B_984/2025 del 9 gennaio 2026</w:t>
      </w:r>
    </w:p>
    <w:p>
      <w:pPr>
        <w:pStyle w:val="Heading2"/>
      </w:pPr>
      <w:r>
        <w:t>Erwägungen</w:t>
      </w:r>
    </w:p>
    <w:p>
      <w:r>
        <w:rPr>
          <w:b/>
        </w:rPr>
        <w:t>E. 1.1</w:t>
      </w:r>
    </w:p>
    <w:p>
      <w:r>
        <w:t>Selon l' art. 42 al. 1 LTF , les mémoires de recours au Tribunal fédéral doivent indiquer les conclusions, les motifs et les moyens de preuve, et être signés.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le recourant, qui se borne à remettre en cause les faits qui lui ont valu sa condamnation à une amende de 100 fr. pour avoir contrevenu aux règles de la circulation routière, n'articule aucune critique topique propre à mettre en évidence en quoi la cour cantonale aurait violé le droit (soit en particulier les art. 36 et 106 al. 5 CP ) en rejetant son recours contre la confirmation de la conversion de l'amende impayée en peine privative de liberté de substitution.</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