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7B_977/2025 vom 21. Oktober 2025</w:t>
      </w:r>
    </w:p>
    <w:p>
      <w:r>
        <w:t>Bundesgericht, 2025-10-21, DE</w:t>
      </w:r>
    </w:p>
    <w:p>
      <w:r>
        <w:rPr>
          <w:b/>
        </w:rPr>
        <w:t xml:space="preserve">Quelle: </w:t>
      </w:r>
      <w:r>
        <w:t>https://mcp.opencaselaw.ch/entscheid/bger_7B_977_2025</w:t>
      </w:r>
    </w:p>
    <w:p>
      <w:r>
        <w:t>FR: TF 7B_977/2025 du 21 octobre 2025</w:t>
      </w:r>
    </w:p>
    <w:p>
      <w:r>
        <w:t>IT: TF 7B_977/2025 del 21 ottobre 2025</w:t>
      </w:r>
    </w:p>
    <w:p>
      <w:pPr>
        <w:pStyle w:val="Heading2"/>
      </w:pPr>
      <w:r>
        <w:t>Erwägungen</w:t>
      </w:r>
    </w:p>
    <w:p>
      <w:r>
        <w:rPr>
          <w:b/>
        </w:rPr>
        <w:t>E. 1.1</w:t>
      </w:r>
    </w:p>
    <w:p>
      <w:r>
        <w:t>Die Staatsanwaltschaft Limmattal/Albis führt eine Strafuntersuchung gegen A.________ wegen des Verdachts der Vergewaltigung etc. Anlässlich der Hausdurchsuchung vom 3. August 2025 stellte die Stadtpolizei Zürich ein Mobiltelefon Apple iPhone, grau sowie vier SIM-Karten sicher. A.________ beantragte die Siegelung. Mit Eingabe vom 15. August 2025 ersuchte die Staatsanwaltschaft um Entsiegelung und Durchsuchung der Datenträger. Mit Verfügung vom 2. September 2025 hiess das Bezirksgericht Zürich, Zwangsmassnahmengericht, das Entsiegelungsgesuch gut und gab die Datenträger der Staatsanwaltschaft zur Durchsuchung und weiteren Verwendung in der laufenden Strafuntersuchung frei.</w:t>
      </w:r>
    </w:p>
    <w:p>
      <w:r>
        <w:rPr>
          <w:b/>
        </w:rPr>
        <w:t>E. 1.2</w:t>
      </w:r>
    </w:p>
    <w:p>
      <w:r>
        <w:t>Mit Eingabe vom 18. September 2025 führt A.________ Beschwerde in Strafsachen gegen die Verfügung vom 2. September 2025 und beantragt deren Aufhebung. Es sei von der Siegelung [recte: Entsiegelung] abzusehen.</w:t>
      </w:r>
    </w:p>
    <w:p>
      <w:r>
        <w:rPr>
          <w:b/>
        </w:rPr>
        <w:t>E. 2.1</w:t>
      </w:r>
    </w:p>
    <w:p>
      <w:r>
        <w:t>Das Bundesgericht prüft seine Zuständigkeit von Amtes wegen ( Art. 29 Abs. 1 BGG ) und beurteilt die Zulässigkeit der bei ihm erhobenen Beschwerden mit freier Kognition ( BGE 150 IV 103 E. 1; 149 IV 9 E. 2; 149 IV 97 E. 1; 148 IV 275 E. 1.1; 146 IV 185 E. 2).</w:t>
      </w:r>
    </w:p>
    <w:p>
      <w:r>
        <w:rPr>
          <w:b/>
        </w:rPr>
        <w:t>E. 2.2</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3.1</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w:t>
      </w:r>
    </w:p>
    <w:p>
      <w:r>
        <w:rPr>
          <w:b/>
        </w:rPr>
        <w:t>E. 3.2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(Urteil 7B_145/2025 vom 25. März 2025 E. 2.2, zur Publikation vorgesehen, mit Hinweisen). Werden dagegen (lediglich) andere Beschlagnahmehindernisse wie insbesondere ein nicht hinreichender Tatverdacht oder ein mangelnder Deliktskonnex geltend gemacht, fehlt es grundsätzlich am nicht wieder gutzumachenden Nachteil (so etwa Urteil 7B_1081/2024 vom 24. Februar 2025 E. 1.2 mit weiteren Hinweisen).</w:t>
      </w:r>
    </w:p>
    <w:p>
      <w:r>
        <w:rPr>
          <w:b/>
        </w:rPr>
        <w:t>E. 4.1</w:t>
      </w:r>
    </w:p>
    <w:p>
      <w:r>
        <w:t>Der Beschwerdeführer äussert sich nicht zu den Eintretensvoraussetzungen. Er bringt einzig vor, auf seinem Mobiltelefon befänden sich "private Sachen", die privat bleiben müssten. Sein privates Interesse an der Geheimhaltung des Inhalts seines Mobiltelefons überwiege ausserdem gegenüber dem Argument, es sei nicht auszuschliessen, dass sich darauf allfällige beweiserhebliche Chats, Bilder oder Videos befinden könnten.</w:t>
      </w:r>
    </w:p>
    <w:p>
      <w:r>
        <w:rPr>
          <w:b/>
        </w:rPr>
        <w:t>E. 4.2</w:t>
      </w:r>
    </w:p>
    <w:p>
      <w:r>
        <w:t>Dieser Argumentation kann nicht gefolgt werden: Zwar ist rechtsprechungsgemäss ohne Weiteres davon auszugehen, dass bei der (vollständigen) Durchsuchung von privat genutzten Smartphones persönliche Aufzeichnungen und Korrespondenz im Sinne von Art. 264 Abs. 1 lit. b StPO tangiert sind; persönliche Aufzeichnungen und Korrespondenz der beschuldigten Person sind aber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darlegt oder ohne Weiteres erkennbar ist, dass das Interesse am Schutz ihrer Persönlichkeit gegenüber dem Strafverfolgungsinteresse überwiegen könnte (Urteil 7B_145/2025 vom 25. März 2025 E. 2.7, zur Publikation vorgesehen, mit Hinweisen). Das ist hier nicht der Fall. Die dem Beschwerdeführer zur Last gelegten Delikte der Vergewaltigung etc. wiegen so schwer, dass nicht erkennbar ist, inwiefern mit Bezug auf die Durchsuchung des Mobiltelefons das Interesse am Schutz der Persönlichkeit dem bedeutenden Strafverfolgungsinteresse vorgehen könnte. Nach dem Gesagten fehlt es an der Eintretensvoraussetzung von Art. 93 Abs. 1 lit. a BGG .</w:t>
      </w:r>
    </w:p>
    <w:p>
      <w:r>
        <w:rPr>
          <w:b/>
        </w:rPr>
        <w:t>E. 5</w:t>
      </w:r>
    </w:p>
    <w:p>
      <w:r>
        <w:t>Auf die Beschwerde ist im vereinfachten Verfahren nach Art. 108 BGG nicht einzutreten.</w:t>
      </w:r>
    </w:p>
    <w:p>
      <w:r>
        <w:t>Das Gesuch des Beschwerdeführers um unentgeltliche Rechtspflege ist abzuweisen, da sich die Beschwerde als aussichtslos erweist ( Art. 64 Abs. 1 BGG ). Die Gerichtskosten sind dem unterliegenden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