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975/2023 vom 8. Februar 2024</w:t>
      </w:r>
    </w:p>
    <w:p>
      <w:r>
        <w:t>Bundesgericht, 2024-02-08, FR</w:t>
      </w:r>
    </w:p>
    <w:p>
      <w:r>
        <w:rPr>
          <w:b/>
        </w:rPr>
        <w:t xml:space="preserve">Quelle: </w:t>
      </w:r>
      <w:r>
        <w:t>https://mcp.opencaselaw.ch/entscheid/bger_7B_975_2023</w:t>
      </w:r>
    </w:p>
    <w:p>
      <w:r>
        <w:t>FR: TF 7B 975/2023 du 8 février 2024</w:t>
      </w:r>
    </w:p>
    <w:p>
      <w:r>
        <w:t>IT: TF 7B 975/2023 del 8 febbraio 2024</w:t>
      </w:r>
    </w:p>
    <w:p>
      <w:pPr>
        <w:pStyle w:val="Heading2"/>
      </w:pPr>
      <w:r>
        <w:t>Regeste</w:t>
      </w:r>
    </w:p>
    <w:p>
      <w:r>
        <w:t>Ordonnance de non-entrée en matière,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En l'espèce, la cour cantonale a estimé, à titre principal, que, faute d'intérêt juridiquement protégé (cf. art. 382 al. 1 CPP ), la recourante ne disposait pas de la qualité pour recourir contre l'ordonnance de non-entrée en matière du 7 septembre 2023, ce qui rendait son recours irrecevable. Cela concernait tant les faits reprochés à l'intimé sous l'angle de l'infraction de fausse déclaration d'une partie en justice ( art. 306 al. 1 CP ; cf. arrêt attaqué, consid. 4.2.3 p. 11) que ceux ayant trait à l'infraction de faux dans les titres ( art. 251 ch. 1 CP ; arrêt attaqué, consid. 5.2 et 5.3 p. 12). Par une motivation subsidiaire, la cour cantonale a par ailleurs considéré que les éléments constitutifs de l'infraction de faux dans les titres n'étaient manifestement pas réalisés, de sorte que le recours était infondé sur ce point (cf. arrêt attaqué, consid. 5.4 p. 12 s.).</w:t>
      </w:r>
    </w:p>
    <w:p>
      <w:r>
        <w:rPr>
          <w:b/>
        </w:rPr>
        <w:t>E. 1.3</w:t>
      </w:r>
    </w:p>
    <w:p>
      <w:r>
        <w:t>Si, dans la rubrique "II. Recevabilité" de son mémoire de recours adressé au Tribunal fédéral, la recourante s'attache à démontrer que les conditions de recevabilité déduites des art. 80, 81, 90 et 100 LTF seraient réunies en l'espèce, elle ne présente en revanche, contrairement à ce qu'exige l' art. 42 al. 2 LTF , aucune motivation en lien avec les considérations exposées à titre principal et subsidiaire par la cour cantonale, la rubrique "III. Griefs du recours" de son mémoire étant d'ailleurs restée vierge de tout développement.</w:t>
      </w:r>
    </w:p>
    <w:p>
      <w:r>
        <w:rPr>
          <w:b/>
        </w:rPr>
        <w:t>E. 1.4</w:t>
      </w:r>
    </w:p>
    <w:p>
      <w:r>
        <w:t>Le recours ne répondant dès lors manifestement pas aux exigences de motivation d'un recours en matière pénale au Tribunal fédéral, il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