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7B_973/2025 vom 8. Januar 2026</w:t>
      </w:r>
    </w:p>
    <w:p>
      <w:r>
        <w:t>Bundesgericht, 2026-01-08, FR</w:t>
      </w:r>
    </w:p>
    <w:p>
      <w:r>
        <w:rPr>
          <w:b/>
        </w:rPr>
        <w:t xml:space="preserve">Quelle: </w:t>
      </w:r>
      <w:r>
        <w:t>https://mcp.opencaselaw.ch/entscheid/bger_7B_973_2025</w:t>
      </w:r>
    </w:p>
    <w:p>
      <w:r>
        <w:t>FR: TF 7B_973/2025 du 8 janvier 2026</w:t>
      </w:r>
    </w:p>
    <w:p>
      <w:r>
        <w:t>IT: TF 7B_973/2025 del 8 gennaio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La Chambre pénale de recours a considéré que la plainte pénale déposée par le recourant contre son épouse le 1er mars 2025 était tardive ( art. 31 CP ). Elle a par ailleurs considéré que dans la mesure où le recourant s'en prenait - pour la première fois dans son recours cantonal - aux déclarations faites par son épouse à la police le 1er mars 2025, il se fondait sur des propos qui étaient exorbitants à la présente procédure, faute d'avoir fait l'objet de l'ordonnance querellée.</w:t>
      </w:r>
    </w:p>
    <w:p>
      <w:r>
        <w:rPr>
          <w:b/>
        </w:rPr>
        <w:t>E. 1.3</w:t>
      </w:r>
    </w:p>
    <w:p>
      <w:r>
        <w:t>Le recourant conteste la tardiveté de sa plainte pénale en se fondant sur les propos formulés par son épouse devant la police le 1er mars 2025. Il ne dit toutefois mot, dans son écriture, sur le raisonnement ayant conduit l'autorité précédente à retenir que ceux-ci étaient exorbitants à la présente procédure. Il échoue ainsi à mettre en évidence, par une argumentation conforme aux exigences en la matière, en quoi l'autorité précédente aurait violé le droit fédéral (soit en particulier l' art. 31 CP ) en rejetant son recours, respectivement en confirmant l'ordonnance de non-entrée en matière du 21 mars 2025.</w:t>
      </w:r>
    </w:p>
    <w:p>
      <w:r>
        <w:rPr>
          <w:b/>
        </w:rPr>
        <w:t>E. 1.4</w:t>
      </w:r>
    </w:p>
    <w:p>
      <w:r>
        <w:t>Ne répondant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