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7B_972/2024 vom 5. November 2024</w:t>
      </w:r>
    </w:p>
    <w:p>
      <w:r>
        <w:t>Bundesgericht, 2024-11-05, DE</w:t>
      </w:r>
    </w:p>
    <w:p>
      <w:r>
        <w:rPr>
          <w:b/>
        </w:rPr>
        <w:t xml:space="preserve">Quelle: </w:t>
      </w:r>
      <w:r>
        <w:t>https://mcp.opencaselaw.ch/entscheid/bger_7B_972_2024</w:t>
      </w:r>
    </w:p>
    <w:p>
      <w:r>
        <w:t>FR: TF 7B_972/2024 du 5 novembre 2024</w:t>
      </w:r>
    </w:p>
    <w:p>
      <w:r>
        <w:t>IT: TF 7B_972/2024 del 5 novembre 2024</w:t>
      </w:r>
    </w:p>
    <w:p>
      <w:pPr>
        <w:pStyle w:val="Heading2"/>
      </w:pPr>
      <w:r>
        <w:t>Erwägungen</w:t>
      </w:r>
    </w:p>
    <w:p>
      <w:r>
        <w:rPr>
          <w:b/>
        </w:rPr>
        <w:t>E. 1</w:t>
      </w:r>
    </w:p>
    <w:p>
      <w:r>
        <w:t>Mit Beschluss vom 29. August 2024 trat das Obergericht des Kantons Zürich mangels Rechtsschutzinteresse auf eine von A.________ wegen Rechtsverweigerung und Rechtsverzögerung durch die Staatsanwaltschaft See/Oberland erhobene Beschwerde nicht ein. Gegen diesen Beschluss führt A.________ mit Eingabe vom 11. September 2024 sinngemäss Beschwerde in Strafsachen. Das Bundesgericht hat auf die Einholung von Vernehmlassungen verzichtet.</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Beschwerdeführerin setzt sich nicht ansatzweise mit den Erwägungen der Vorinstanz auseinander, mit denen diese ihr Nichteintreten auf die kantonale Beschwerde begründet. Stattdessen zitiert sie vereinzelte Gesetzesbestimmungen, Bibelverse und andere Zitate religiöser Natur. Solche appellatorische Kritik genügt den dargelegten Begründungsanforderungen von vornherein nicht, weshalb auf die Beschwerde im vereinfachten Verfahren nach Art. 108 Abs. 1 lit. b BGG nicht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