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971/2023 vom 12. Januar 2024</w:t>
      </w:r>
    </w:p>
    <w:p>
      <w:r>
        <w:t>Bundesgericht, 2024-01-12, DE</w:t>
      </w:r>
    </w:p>
    <w:p>
      <w:r>
        <w:rPr>
          <w:b/>
        </w:rPr>
        <w:t xml:space="preserve">Quelle: </w:t>
      </w:r>
      <w:r>
        <w:t>https://mcp.opencaselaw.ch/entscheid/bger_7B_971_2023</w:t>
      </w:r>
    </w:p>
    <w:p>
      <w:r>
        <w:t>FR: TF 7B 971/2023 du 12 janvier 2024</w:t>
      </w:r>
    </w:p>
    <w:p>
      <w:r>
        <w:t>IT: TF 7B 971/2023 del 12 gennaio 2024</w:t>
      </w:r>
    </w:p>
    <w:p>
      <w:pPr>
        <w:pStyle w:val="Heading2"/>
      </w:pPr>
      <w:r>
        <w:t>Regeste</w:t>
      </w:r>
    </w:p>
    <w:p>
      <w:r>
        <w:t>Einstellung des Stafverfahrens (Kostenauflage); Rückzug | Strafprozess</w:t>
      </w:r>
    </w:p>
    <w:p>
      <w:pPr>
        <w:pStyle w:val="Heading2"/>
      </w:pPr>
      <w:r>
        <w:t>Erwägungen</w:t>
      </w:r>
    </w:p>
    <w:p>
      <w:r>
        <w:rPr>
          <w:b/>
        </w:rPr>
        <w:t>E. 1</w:t>
      </w:r>
    </w:p>
    <w:p>
      <w:r>
        <w:t>Die Beschwerde in Strafsachen vom 7. Dezember 2023 gegen den Entscheid des Obergerichts des Kantons Schaffhausen vom 17. November 2023 wurde am 8. Januar 2024 zurückgezogen. Sie ist damit als gegenstandslos geworden vom Geschäftsverzeichnis abzuschreiben.</w:t>
      </w:r>
    </w:p>
    <w:p>
      <w:r>
        <w:rPr>
          <w:b/>
        </w:rPr>
        <w:t>E. 2</w:t>
      </w:r>
    </w:p>
    <w:p>
      <w:r>
        <w:t>Die Gerichtskosten sind auf Fr. 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