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967/2024 vom 4. November 2024</w:t>
      </w:r>
    </w:p>
    <w:p>
      <w:r>
        <w:t>Bundesgericht, 2024-11-04, DE</w:t>
      </w:r>
    </w:p>
    <w:p>
      <w:r>
        <w:rPr>
          <w:b/>
        </w:rPr>
        <w:t xml:space="preserve">Quelle: </w:t>
      </w:r>
      <w:r>
        <w:t>https://mcp.opencaselaw.ch/entscheid/bger_7B_967_2024</w:t>
      </w:r>
    </w:p>
    <w:p>
      <w:r>
        <w:t>FR: TF 7B 967/2024 du 4 novembre 2024</w:t>
      </w:r>
    </w:p>
    <w:p>
      <w:r>
        <w:t>IT: TF 7B 967/2024 del 4 novembre 2024</w:t>
      </w:r>
    </w:p>
    <w:p>
      <w:pPr>
        <w:pStyle w:val="Heading2"/>
      </w:pPr>
      <w:r>
        <w:t>Regeste</w:t>
      </w:r>
    </w:p>
    <w:p>
      <w:r>
        <w:t>Nichtanhandnahme; Nichteintreten | Strafprozess</w:t>
      </w:r>
    </w:p>
    <w:p>
      <w:pPr>
        <w:pStyle w:val="Heading2"/>
      </w:pPr>
      <w:r>
        <w:t>Erwägungen</w:t>
      </w:r>
    </w:p>
    <w:p>
      <w:r>
        <w:rPr>
          <w:b/>
        </w:rPr>
        <w:t>E. 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 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2</w:t>
      </w:r>
    </w:p>
    <w:p>
      <w:r>
        <w:t>Die Beschwerde enthält keine Ausführungen zur Beschwerdelegitimation des Beschwerdeführers bzw. zu einem diesem (angeblich) zustehenden Zivilanspruch im Sinne von Art. 81 Abs. 1 lit. b Ziff. 5 BGG, der ihn zur Beschwerde berechtigen könnte. Angesichts des dargelegten Sachverhalts und dem vom Beschwerdeführer zur Anzeige gebrachten Straftatbestands (einfache Körperverletzung) scheidet es vorliegend aus, im Sinne der eng definierten Ausnahmeregelung - die erfordert, dass die Straftat unmittelbar zu einer so starken Beeinträchtigung der körperlichen, psychischen oder sexuellen Integrität geführt hat, dass sich daraus ohne Weiteres ein Anspruch auf Schadenersatz oder Genugtuung ergibt (siehe dazu die in Erwägung 1 hiervor zitierte Rechtsprechung) - von den Begründungsanforderungen abzusehen. Die Beschwerde enthält damit offensichtlich keine hinreichende Begründung.</w:t>
      </w:r>
    </w:p>
    <w:p>
      <w:r>
        <w:rPr>
          <w:b/>
        </w:rPr>
        <w:t>E. 3</w:t>
      </w:r>
    </w:p>
    <w:p>
      <w:r>
        <w:t>In der Beschwerde wird ferner keine Verletzung von Verfahrensrechten gerügt, deren Missachtung einer formellen Rechtsverweigerung gleichkommen würde ("Star-Praxis"; BGE 146 IV 76 E. 2; 141 IV 1 E. 1.1). Denn nicht zu hören sind dabei Rügen, die im Ergebnis auf eine materielle Überprüfung des angefochtenen Entscheids abzielen (Urteile 7B_126/2024 vom 22. April 2024 E. 1.2.1 mit Hinweis; 7B_112/2022 vom 22. November 2023 E. 1.1). Der Beschwerdeführer rügt zwar - wenn auch nicht im Zusammenhang mit den Eintretensvoraussetzungen, sondern als "Eventualbegründung" in der Sache (Beschwerde S. 8 f.) - eine Verletzung des rechtlichen Gehörs. Allerdings zielt er damit nicht auf die Berechtigung ab, am Verfahren teilzunehmen, sondern bezweckt unmissverständlich eine inhaltliche Überprüfung des angefochtenen Beschlusses.</w:t>
      </w:r>
    </w:p>
    <w:p>
      <w:r>
        <w:rPr>
          <w:b/>
        </w:rPr>
        <w:t>E. 4</w:t>
      </w:r>
    </w:p>
    <w:p>
      <w:r>
        <w:t>Auf die 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