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7B_965/2023 vom 8. Mai 2024</w:t>
      </w:r>
    </w:p>
    <w:p>
      <w:r>
        <w:t>Bundesgericht, 2024-05-08, DE</w:t>
      </w:r>
    </w:p>
    <w:p>
      <w:r>
        <w:rPr>
          <w:b/>
        </w:rPr>
        <w:t xml:space="preserve">Quelle: </w:t>
      </w:r>
      <w:r>
        <w:t>https://mcp.opencaselaw.ch/entscheid/bger_7B_965_2023</w:t>
      </w:r>
    </w:p>
    <w:p>
      <w:r>
        <w:t>FR: TF 7B_965/2023 du 8 mai 2024</w:t>
      </w:r>
    </w:p>
    <w:p>
      <w:r>
        <w:t>IT: TF 7B_965/2023 del 8 maggio 2024</w:t>
      </w:r>
    </w:p>
    <w:p>
      <w:pPr>
        <w:pStyle w:val="Heading2"/>
      </w:pPr>
      <w:r>
        <w:t>Erwägungen</w:t>
      </w:r>
    </w:p>
    <w:p>
      <w:r>
        <w:rPr>
          <w:b/>
        </w:rPr>
        <w:t>E. 1.1</w:t>
      </w:r>
    </w:p>
    <w:p>
      <w:r>
        <w:t>Angefochten ist ein kantonal letztinstanzlicher Entscheid über die Anordnung der Analyse einer Blut- und Urinprobe im Rahmen eines Strafverfahrens, gegen den die Beschwerde in Strafsachen nach Art. 78-81 BGG grundsätzlich offensteht. Er schliesst das Verfahren indessen nicht ab, weshalb es sich um einen Zwischenentscheid handelt. Als solcher ist er, da er nicht die Zuständigkeit oder den Ausstand zum Gegenstand hat, gemäss Art. 93 Abs. 1 lit. a BGG nur dann selbständig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141 IV 284 E. 2.3, 289 E. 1.3).</w:t>
      </w:r>
    </w:p>
    <w:p>
      <w:r>
        <w:rPr>
          <w:b/>
        </w:rPr>
        <w:t>E. 1.2</w:t>
      </w:r>
    </w:p>
    <w:p>
      <w:r>
        <w:t>Der Beschwerdeführer übersieht nicht, dass er den Einwand, der Untersuchungsbefehl vom 13. Juni 2023 sei rechtswidrig und die gestützt darauf erhobenen Beweismittel dürften nicht verwertet werden, beim Sachrichter erheben kann (vgl. Art. 141 StPO und Art. 93 Abs. 3 BGG ; Urteil 1B_404/2022 vom 13. September 2022 E. 2.2). Er argumentiert jedoch, "die Gutheissung der Auswertung würde zu einem nicht wieder gutzumachenden Nachteil führen, zumal ein allfälliger Substanznachweis im Blut im Sinne eines Zufallsfundes im Administrativ-Verfahren den Führerausweis betreffend selbst bei der finalen Feststellung der Unverwertbarkeit des Beweises durch den Sachrichter im Strafverfahren verwertbar bleiben würde". Ob diese Argumentation die selbständige Anrufung des Bundesgerichts gemäss Art. 93 Abs. 1 lit. a BGG rechtfertigt, erscheint fraglich, kann aber offenbleiben, da die Beschwerde - wie nachfolgend darzulegen ist - jedenfalls aus anderen Gründen ohne Erfolg bleibt.</w:t>
      </w:r>
    </w:p>
    <w:p>
      <w:r>
        <w:rPr>
          <w:b/>
        </w:rPr>
        <w:t>E. 2</w:t>
      </w:r>
    </w:p>
    <w:p>
      <w:r>
        <w:t>Mit Beschwerde in Strafsachen können Rechtsverletzungen nach Art. 95 und 96 BGG gerügt werden.</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 BGE 148 IV 39 E. 2.3.5 mit Hinweisen).</w:t>
      </w:r>
    </w:p>
    <w:p>
      <w:r>
        <w:rPr>
          <w:b/>
        </w:rPr>
        <w:t>E. 3</w:t>
      </w:r>
    </w:p>
    <w:p>
      <w:r>
        <w:t>Soweit die Beschwerde überhaupt rechtsgenügend begründet ist, geht sie fehl:</w:t>
      </w:r>
    </w:p>
    <w:p>
      <w:r>
        <w:t>Der Beschwerdeführer rügt, der Untersuchungsbefehl vom 13. Juni 2023 enthalte keine Art. 80 Abs. 2 StPO entsprechende Begründung, da daraus nicht ansatzweise hervorgehe, "dass sich die Anordnung der Blut- und Urinprobe gestützt auf die Aussagen des Beschwerdeführers den eigenen Medikamentenkonsum betreffend ergeben haben sollen [sic]".</w:t>
      </w:r>
    </w:p>
    <w:p>
      <w:r>
        <w:t>Dem in Form eines Formulars ergangenen Untersuchungsbefehl vom 13. Juni 2023 ist als Begründung zu entnehmen, dass "keine genügend konkreten Anhaltspunkte für die Ursache der mutmasslichen Fahrunfähigkeit vorliegen und die von der Polizei festgestellten Ausfallerscheinungen und Auffälligkeiten vereinbar sind mit den Wirkungen von Betäubungsmitteln und verkehrsrelevanten Medikamenten, weshalb zusätzlich eine Urinprobe anzuordnen ist", unter Hinweis auf Art. 12a der Verordnung vom 28. März 2007 über die Kontrolle des Strassenverkehrs (Strassenverkehrskontrollverordnung, SKV; SR 741.013) . Im Übrigen wird auf die Feststellungen der Kantonspolizei in den Ziffern 4 und 5 des FinZ-Sets verwiesen, in denen unter anderem die verwaschene Aussprache, die Gleichgewichtsstörungen und der unsichere Gang angemerkt sind. In ihrer Vernehmlassung im Beschwerdeverfahren vor der Vorinstanz begründete die Beschwerdegegnerin ihren Befehl dann näher. Sie brachte insbesondere vor, seitens der Polizei sei telefonisch geschildert worden, dass der Beschwerdeführer ausgeführt habe, nur wenig Alkohol konsumiert zu haben, weshalb die festgestellten Ausfallerscheinungen nicht durch den Alkoholkonsum erklärbar seien, und weiter, er habe weiter erklärt, Medikamente zu sich genommen zu haben. Gemäss der Schilderung der Polizei bestehe der Verdacht auf eine Wechselwirkung zwischen den eingenommenen Medikamenten und dem konsumierten Alkohol, wobei diese Problematik mit dem Beschwerdeführer auf Platz besprochen worden sei.</w:t>
      </w:r>
    </w:p>
    <w:p>
      <w:r>
        <w:t>Da der Vorinstanz als Beschwerdeinstanz nach Art. 393 Abs. 2 StPO eine umfassende Kognition zustand, wäre eine allfällige Verletzung der Begründungspflicht ( Art. 80 Abs. 2 StPO ) durch die Beschwerdegegnerin jedenfalls im Beschwerdeverfahren mit dem ausführlich begründeten Entscheid der Vorinstanz geheilt worden (vgl. Urteil 1B_150/2017 vom 4. Oktober 2017 E. 2.3). Die Kritik des Beschwerdeführers, wonach die Vorinstanz sich nicht auf diese im Rechtsmittelverfahren nachgereichten Informationen hätte abstützen dürfen, verfehlt ihr Ziel, da Noven nach der bundesgerichtlichen Rechtsprechung im kantonalen Beschwerdeverfahren zulässig sind ( BGE 145 IV 65 E. 2.9.2; 141 IV 396 E. 4.4; Urteil 1B_258/2017 vom 2. März 2018 E. 6). Der Vorinstanz ist somit keine Bundesrechtsverletzung vorzuwerfen, wenn sie in ihrem Entscheid auch darauf hinwies, der Beschwerdeführer habe gemäss dem Polizeirapport vom 3. Juli 2023 nach dem zweiten Atemalkoholtest gegenüber den Polizeibeamten ausgeführt, dass er aufgrund einer Operation Schmerzen habe und am 8. Juni 2023 Morphin zu sich genommen habe. Die dahingehende Sachverhaltsfeststellung ist im Übrigen auch unter Willkürgesichtspunkten nicht zu beanstanden, kann sie sich doch in der Tat auf den erwähnten Polizeirapport stützen. Ausserdem wird in diesem Rapport auch erläutert, dass es aufgrund der Fallübergabe an den Frühdienst untergegangen sei, die Aussagen des Beschwerdeführers betreffend Medikamenteneinnahme im FinZ-Set aufzuführen. Inwieweit es geradezu unhaltbar sein soll, wenn die Vorinstanz unter diesen Umständen auf den Polizeirapport abstellt, ist nicht ersichtlich.</w:t>
      </w:r>
    </w:p>
    <w:p>
      <w:r>
        <w:rPr>
          <w:b/>
        </w:rPr>
        <w:t>E. 4</w:t>
      </w:r>
    </w:p>
    <w:p>
      <w:r>
        <w:t>Die Beschwerde ist abzuweisen, soweit darauf einzutreten ist. Der Beschwerdeführer unterliegt und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