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7B_959/2023 vom 6. Juni 2024</w:t>
      </w:r>
    </w:p>
    <w:p>
      <w:r>
        <w:t>Bundesgericht, 2024-06-06, DE</w:t>
      </w:r>
    </w:p>
    <w:p>
      <w:r>
        <w:rPr>
          <w:b/>
        </w:rPr>
        <w:t xml:space="preserve">Quelle: </w:t>
      </w:r>
      <w:r>
        <w:t>https://mcp.opencaselaw.ch/entscheid/bger_7B_959_2023</w:t>
      </w:r>
    </w:p>
    <w:p>
      <w:r>
        <w:t>FR: TF 7B_959/2023 du 6 juin 2024</w:t>
      </w:r>
    </w:p>
    <w:p>
      <w:r>
        <w:t>IT: TF 7B_959/2023 del 6 giugno 2024</w:t>
      </w:r>
    </w:p>
    <w:p>
      <w:pPr>
        <w:pStyle w:val="Heading2"/>
      </w:pPr>
      <w:r>
        <w:t>Erwägungen</w:t>
      </w:r>
    </w:p>
    <w:p>
      <w:r>
        <w:rPr>
          <w:b/>
        </w:rPr>
        <w:t>E. 1.1</w:t>
      </w:r>
    </w:p>
    <w:p>
      <w:r>
        <w:t>Die beiden praktisch identisch lautenden Beschwerden betreffen dieselben Parteien und werfen inhaltlich die gleichen Rechtsfragen auf. Die Verfahren 7B_959/2023 und 7B_528/2024 sind daher mit präsidialer Verfügung ( Art. 32 Abs. 1 BGG ) zu vereinigen.</w:t>
      </w:r>
    </w:p>
    <w:p>
      <w:r>
        <w:rPr>
          <w:b/>
        </w:rPr>
        <w:t>E. 1.2</w:t>
      </w:r>
    </w:p>
    <w:p>
      <w:r>
        <w:t>Der Beschwerdeführer beantragt unter anderem, Bundesrichterin Koch habe in den Ausstand zu treten und begründet dies mit Art. 21 Abs. 3 StPO . Diese Bestimmung ist indessen vor Bundesgericht nicht anwendbar. Im Übrigen werden die Beschwerden vom Präsidenten der Abteilung als Einzelrichter im vereinfachten Verfahren nach Art. 108 BGG behandelt, so dass das Ausstandsgesuch gegen Bundesrichterin Koch gegenstandslos ist.</w:t>
      </w:r>
    </w:p>
    <w:p>
      <w:r>
        <w:rPr>
          <w:b/>
        </w:rPr>
        <w:t>E. 1.3</w:t>
      </w:r>
    </w:p>
    <w:p>
      <w:r>
        <w:t>Streitgegenstand bildet vorliegend einzig der vom Beschwerdeführer geltend gemachte Ausstand des Leiters des Revisionsverfahrens vor dem Appellationsgericht. Soweit er darüber hinaus den Antrag stellt, es seien alle Revisionsverfahren betreffend die materielle Streitigkeit in einem Verfahren zu vereinigen, kann darauf von vornherein nicht eingetreten werden.</w:t>
      </w:r>
    </w:p>
    <w:p>
      <w:r>
        <w:rPr>
          <w:b/>
        </w:rPr>
        <w:t>E. 2.1</w:t>
      </w:r>
    </w:p>
    <w:p>
      <w:r>
        <w:t>Gemäss Art. 42 Abs. 2 BGG ist in der Begründung einer Beschwerde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2.2</w:t>
      </w:r>
    </w:p>
    <w:p>
      <w:r>
        <w:t>Der Beschwerdeführer begründet die angebliche Voreingenommenheit des Beschwerdegegners in seinen beiden Beschwerden damit, dass innert einer Arbeitswoche keine sachgerechte Lektüre und adäquate Befassung mit dem Revisionsgesuch von 124 Seiten habe erfolgen können. Der Beschwerdegegner habe sich gar nicht mit dem Revisionsgesuch befassen wollen. Zudem handle es sich beim Beschwerdegegner um einen ehemaligen Wahlkonkurrenten für ein Richteramt. Sowohl er, als auch der Beschwerdegegner hätten sich für dieselbe Stelle beworben. Dadurch seien dem Beschwerdegegner Kosten und Aufwand entstanden. Somit sei der Beschwerdegegner vorbelastet in dieses Revisionsverfahren gegangen und habe es im "Schnellgerichtsverfahren abgeschmettert".</w:t>
      </w:r>
    </w:p>
    <w:p>
      <w:r>
        <w:rPr>
          <w:b/>
        </w:rPr>
        <w:t>E. 2.3</w:t>
      </w:r>
    </w:p>
    <w:p>
      <w:r>
        <w:t>Mit diesem Ausführungen gelingt es dem Beschwerdeführer indessen nicht, konkret aufzuzeigen, inwiefern die Begründung des Appellationsgerichts, die zur Abweisung seines Ausstandsgesuchs geführt hat, rechts- bzw. verfassungswidrig sein soll. Er setzt sich in seiner Beschwerde nicht ansatzweise mit dem angefochtenen Entscheid und der Begründung der Vorinstanz auseinander. Diese begründet nachvollziehbar, weshalb weder der Umstand, dass es sich beim Beschwerdegegner um einen "unmittelbaren Wahlkandidaten" handle noch der Umfang des Revisionsgesuchs zu einer Voreingenommenheit des Beschwerdegegners führe (vgl. E. 2.2.1 und E. 2.2.2 des angefochtenen Entscheids). Der Beschwerdeführer beschränkt sich demgegenüber auf rein appellatorische Kritik und legt einzig seine Sicht der Dinge dar, ohne ansatzweise darzulegen, inwiefern das Appellationsgericht im angefochtenen Entscheid die bundesrechtlichen Ausstandsregeln gemäss Art. 56 ff. StPO verletzt haben könnte. Die Beschwerden genügen damit den vorgenannten gesetzlichen Formerfordernissen, namentlich der Begründungspflicht, offensichtlich nicht, weshalb auf sie im vereinfachten Verfahren nach Art. 108 Abs. 1 lit. b BGG nicht einzutreten ist.</w:t>
      </w:r>
    </w:p>
    <w:p>
      <w:r>
        <w:rPr>
          <w:b/>
        </w:rPr>
        <w:t>E. 3</w:t>
      </w:r>
    </w:p>
    <w:p>
      <w:r>
        <w:t>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