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7B_952/2025 vom 4. Februar 2026</w:t>
      </w:r>
    </w:p>
    <w:p>
      <w:r>
        <w:t>Bundesgericht, 2026-02-04, FR</w:t>
      </w:r>
    </w:p>
    <w:p>
      <w:r>
        <w:rPr>
          <w:b/>
        </w:rPr>
        <w:t xml:space="preserve">Quelle: </w:t>
      </w:r>
      <w:r>
        <w:t>https://mcp.opencaselaw.ch/entscheid/bger_7B_952_2025</w:t>
      </w:r>
    </w:p>
    <w:p>
      <w:r>
        <w:t>FR: TF 7B_952/2025 du 4 février 2026</w:t>
      </w:r>
    </w:p>
    <w:p>
      <w:r>
        <w:t>IT: TF 7B_952/2025 del 4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 ATF 150 I 50 consid. 3.3.1; 149 IV 231 consid. 2.4; 148 IV 356 consid. 2.1, 409 consid. 2.2; 147 IV 73 consid. 4.1.2).</w:t>
      </w:r>
    </w:p>
    <w:p>
      <w:r>
        <w:rPr>
          <w:b/>
        </w:rPr>
        <w:t>E. 1.2</w:t>
      </w:r>
    </w:p>
    <w:p>
      <w:r>
        <w:t>En l'espèce, la cour cantonale a constaté que si l'ordre de paiement avait été donné à la banque, en Suisse, le 6 août 2025, les sûretés réclamées avaient été créditées sur le compte bancaire du Pouvoir judiciaire - et donc versées - le 7 août 2025, soit un jour après l'échéance fixée au 6 août 2025.</w:t>
      </w:r>
    </w:p>
    <w:p>
      <w:r>
        <w:rPr>
          <w:b/>
        </w:rPr>
        <w:t>E. 1.3</w:t>
      </w:r>
    </w:p>
    <w:p>
      <w:r>
        <w:t>Face à la motivation cantonale, le recourant allègue qu'il aurait effectué le paiement des sûretés avant l'échéance du délai. Sa critique paraît ainsi se rapporter à la constatation des faits ressortant de l'arrêt attaqué, laquelle ne peut être revue par le Tribunal fédéral que sous l'angle restreint de l'interdiction de l'arbitraire. Le recourant n'expose toutefois pas en quoi la cour cantonale aurait arbitrairement omis de constater que le montant de 1'000 fr. à titre de versement des sûretés a été débité de son compte bancaire avant l'échéant du délai imparti. Par ses développements, il se limite à proposer sa propre appréciation des preuves dans une démarche appellatoire, partant irrecevable (cf. consid. 1.1</w:t>
      </w:r>
    </w:p>
    <w:p>
      <w:r>
        <w:t>supra ), et d'autant plus vaine qu'il ressort du justificatif de la banque produit à l'appui du recours (cf. annexes au recours, pièce 1) que le compte bancaire en question a bel et bien été débité de la somme précitée le 7 août 2025. L'argument du recourant selon lequel l'ordre de paiement a été "saisi et visé" le 6 août 2025, soit le dernier jour du délai, est impropre à démontrer que la cour cantonale aurait violé le droit fédéral en considérant que le moment déterminant pour constater l'observation ou l'inobservation du délai est celui où l'ordre de paiement en faveur de l'autorité a été débité du compte postal ou bancaire du recourant ou de son mandataire (cf. arrêt 7B_392/2025 du 11 juillet 2025 consid. 2.2.3 et les réf. citées).</w:t>
      </w:r>
    </w:p>
    <w:p>
      <w:r>
        <w:rPr>
          <w:b/>
        </w:rPr>
        <w:t>E. 1.4</w:t>
      </w:r>
    </w:p>
    <w:p>
      <w:r>
        <w:t>Pour le reste, le recourant reproche à la direction de la procédure d'avoir rejeté sa demande d'assistance judiciaire et d'avoir exigé de lui le versement de sûretés. Or il n'articule à cet égard aucune critique, conforme aux exigences en la matière (cf. consid. 1.1</w:t>
      </w:r>
    </w:p>
    <w:p>
      <w:r>
        <w:t>supra ), susceptible de démontrer une quelconque violation de ses droits en lien avec les art. 6 par. 1 CEDH , 9 et 29 al. 3 Cst., ainsi que 132 CPP qu'il invoque, se bornant à contester, là aussi de manière appellatoire, partant irrecevable, l'établissement de sa situation financière à laquelle a procédé la direction de la procédure.</w:t>
      </w:r>
    </w:p>
    <w:p>
      <w:r>
        <w:rPr>
          <w:b/>
        </w:rPr>
        <w:t>E. 1.5</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de la procédure fédérale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