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7B_951/2024 vom 16. Dezember 2024</w:t>
      </w:r>
    </w:p>
    <w:p>
      <w:r>
        <w:t>Bundesgericht, 2024-12-16, FR</w:t>
      </w:r>
    </w:p>
    <w:p>
      <w:r>
        <w:rPr>
          <w:b/>
        </w:rPr>
        <w:t xml:space="preserve">Quelle: </w:t>
      </w:r>
      <w:r>
        <w:t>https://mcp.opencaselaw.ch/entscheid/bger_7B_951_2024</w:t>
      </w:r>
    </w:p>
    <w:p>
      <w:r>
        <w:t>FR: TF 7B_951/2024 du 16 décembre 2024</w:t>
      </w:r>
    </w:p>
    <w:p>
      <w:r>
        <w:t>IT: TF 7B_951/2024 del 16 dicembre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w:t>
      </w:r>
    </w:p>
    <w:p>
      <w:r>
        <w:t>En l'espèce, le recours contient des prétentions civiles chiffrées. Il apparaît cependant à la lecture de celui-ci et de l'arrêt entrepris que les plainte et dénonciation du recourant sont dirigées contre des agents de police et contre un membre du Service de protection des mineurs du canton de Genève. En outre, les actes que le recourant reproche aux prénommés auraient été commis dans le cadre de leur travail. Le recourant ne disposerait dès lors à leur égard que de prétentions de droit public à faire valoir non pas contre les auteurs présumés, mais contre l'État (cf. art. 61 al. 1 CO ; cf. art. 2 de la loi genevoise du 24 février 1989 sur la responsabilité de l'État et des communes [LREC; rsGE A 2 40]). Celles-ci ne peuvent cependant pas être invoquées dans le procès pénal par voie d'adhésion et ne constituent donc pas des prétentions civiles au sens de l' art. 81 LTF ( ATF 146 IV 76 consid. 3.1; 138 IV 86 consid. 3.1).</w:t>
      </w:r>
    </w:p>
    <w:p>
      <w:r>
        <w:rPr>
          <w:b/>
        </w:rPr>
        <w:t>E. 1.3</w:t>
      </w:r>
    </w:p>
    <w:p>
      <w:r>
        <w:t>Dès lors et en l'absence de toute explication sur le caractère civil de ses prétentions pécuniaires, le recourant ne démontre pas à satisfaction de droit avoir qualité pour recourir en application de l'art. 81 al. 1 let. b ch. 5 LTF.</w:t>
      </w:r>
    </w:p>
    <w:p>
      <w:r>
        <w:rPr>
          <w:b/>
        </w:rPr>
        <w:t>E. 2</w:t>
      </w:r>
    </w:p>
    <w:p>
      <w:r>
        <w:t>L'hypothèse visée à l'art. 81 al. 1 let. b ch. 6 LTF n'entre pas non plus en considération, le recourant ne soulevant aucun grief quant à son droit de porter plainte.</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w:t>
      </w:r>
    </w:p>
    <w:p>
      <w:r>
        <w:rPr>
          <w:b/>
        </w:rPr>
        <w:t>E. 3.2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en particulier, la motivation doit être topique, c'est-à-dire se rapporter à la question juridique tranchée par l'autorité cantonale ( ATF 123 V 335 ; arrêt 7B_1041/2024 du 15 novembre 2024 consid. 1.1).</w:t>
      </w:r>
    </w:p>
    <w:p>
      <w:r>
        <w:rPr>
          <w:b/>
        </w:rPr>
        <w:t>E. 3.3</w:t>
      </w:r>
    </w:p>
    <w:p>
      <w:r>
        <w:t>Le recourant fait valoir un déni de justice en lien avec B.________. Il semble se plaindre du fait que B.________ n'aurait pas eu le droit de se faire assister devant l'autorité précédente par un conseil juridique au sens de l' art. 127 CPP , respectivement soutient que cette autorité aurait dû appliquer l' art. 42 al. 5 LTF . Or outre que cette dernière disposition ne s'applique pas devant l'autorité précédente et en admettant qu'il soit légitimé à agir pour le compte de B.________, le recourant ne s'en prend pas à la motivation cantonale, respectivement ne formule aucun grief répondant aux exigences de motivation de l' art. 42 al. 2 LTF . En effet, il n'expose en particulier pas en quoi l'autorité précédente aurait violé l'art. 18 al. 1 de la loi genevoise d'application du code pénal suisse et d'autres lois fédérales en matière pénale du 27 août 2009 (LaCP; RS/GE E 4 10) qu'elle a appliqué dans le cas d'espèce, considérant que le recourant, qui n'est pas avocat, ne pouvait pas valablement représenter en justice B.________.</w:t>
      </w:r>
    </w:p>
    <w:p>
      <w:r>
        <w:t>Pour le reste, en tant que le recourant émet des griefs en lien avec l'administration des preuves et son droit d'être entendu qui ne peuvent pas être séparés du fond, ils sont irrecevables.</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7B_935/2024 du 18 octobre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