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7B_941/2024 vom 29. Oktober 2024</w:t>
      </w:r>
    </w:p>
    <w:p>
      <w:r>
        <w:t>Bundesgericht, 2024-10-29, DE</w:t>
      </w:r>
    </w:p>
    <w:p>
      <w:r>
        <w:rPr>
          <w:b/>
        </w:rPr>
        <w:t xml:space="preserve">Quelle: </w:t>
      </w:r>
      <w:r>
        <w:t>https://mcp.opencaselaw.ch/entscheid/bger_7B_941_2024</w:t>
      </w:r>
    </w:p>
    <w:p>
      <w:r>
        <w:t>FR: TF 7B_941/2024 du 29 octobre 2024</w:t>
      </w:r>
    </w:p>
    <w:p>
      <w:r>
        <w:t>IT: TF 7B_941/2024 del 29 ottobre 2024</w:t>
      </w:r>
    </w:p>
    <w:p>
      <w:pPr>
        <w:pStyle w:val="Heading2"/>
      </w:pPr>
      <w:r>
        <w:t>Erwägungen</w:t>
      </w:r>
    </w:p>
    <w:p>
      <w:r>
        <w:rPr>
          <w:b/>
        </w:rPr>
        <w:t>E. 1</w:t>
      </w:r>
    </w:p>
    <w:p>
      <w:r>
        <w:t>Der Beschwerde in Strafsachen unterliegen unter anderem Entscheide über den Vollzug von Strafen und Massnahmen ( Art. 78 Abs. 2 lit. b BGG ). Das angefochtene, kantonal letztinstanzliche und verfahrensabschliessende Urteil ( Art. 80 und Art. 90 BGG ) stellt einen solchen Entscheid dar. Der Beschwerdeführer ist als verurteilte Person zur Beschwerde legitimiert (Art. 81 Abs. 1 lit. a und b Ziff. 1 BGG). Er hat die Beschwerdefrist ( Art. 100 Abs. 1 BGG ) eingehalten. Insoweit erweist sich seine Beschwerde als zulässig.</w:t>
      </w:r>
    </w:p>
    <w:p>
      <w:r>
        <w:rPr>
          <w:b/>
        </w:rPr>
        <w:t>E. 2.1</w:t>
      </w:r>
    </w:p>
    <w:p>
      <w:r>
        <w:t>Gemäss Art. 42 Abs. 1 BGG hat die Beschwerde an das Bundesgericht ein Begehren und dessen Begründung zu enthalten. In der Begründung ist in gedrängter Form darzulegen, inwiefern der angefochtene Akt Recht verletzt ( Art. 42 Abs. 2 BGG ). Unerlässlich ist dabei, dass auf die Erwägungen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 das heisst insbesondere solche, die der Vorinstanz einzig die eigene Sicht der Dinge entgegenstellt - tritt das Bundesgericht nicht ein (vgl. BGE 148 IV 205 E. 2.6 mit Hinweisen).</w:t>
      </w:r>
    </w:p>
    <w:p>
      <w:r>
        <w:rPr>
          <w:b/>
        </w:rPr>
        <w:t>E. 2.2</w:t>
      </w:r>
    </w:p>
    <w:p>
      <w:r>
        <w:t>Anhand des Rechtsbegehrens des Beschwerdeführers ist nicht restlos klar, ob er sich gegen die Verweigerung des offenen Vollzugs und bzw. oder die Verweigerung von Urlauben zur Wehr setzen möchte. Aufgrund der Beschwerdebegründung, die zur Auslegung des Rechtsbegehrens herangezogen werden kann (vgl. BGE 136 V 131 E. 1.2), ist jedoch davon auszugehen, dass sein Ansinnen beide Punkte umfasst.</w:t>
      </w:r>
    </w:p>
    <w:p>
      <w:r>
        <w:rPr>
          <w:b/>
        </w:rPr>
        <w:t>E. 2.3</w:t>
      </w:r>
    </w:p>
    <w:p>
      <w:r>
        <w:t>Sowohl die Gewährung von Urlaub als auch die Verlegung in eine halboffene Strafanstalt setzen voraus, dass keine Gefahr besteht, dass die eingewiesene Person flieht oder weitere Straftaten begeht (vgl. Art. 76 Abs. 2e contrario und Art. 84 Abs. 6 StGB ). Wie vom Beschwerdeführer zutreffend eingewendet, muss sich die Nichtbewilligung von Vollzugslockerungen auf ernsthafte und objektive Gründe stützen (vgl. Urteile 1B_142/2023 vom 19. April 2023 E. 3.6; 6B_827/2020 vom 6. Januar 2021 E. 1.4.6; je mit Hinweisen). Was die Fluchtgefahr im Besonderen anbelangt, so müssen konkrete Gründe dargetan werden, die eine Flucht als wahrscheinlich erscheinen lassen. Hierfür sind die gesamten Verhältnisse des Eingewiesenen wie beispielsweise die Lebensumstände, familiäre Bindungen, berufliche und finanzielle Situation sowie Kontakte zum Ausland, in Betracht zu ziehen ( BGE 143 IV 160 E. 4.3; Urteil 6B_476/2021 vom 14. Juni 2021 E. 2.3; je mit Hinweisen). Auch die Rückfallgefahr muss im Einzelfall sorgfältig geprüft werden (Urteile 1B_142/2023, 1B_162/2023 vom 19. April 2023 E. 3.6; 6B_1028/2014 vom 17. Juli 2015 E. 3.5; je mit Hinweisen). Dabei darf nicht ohne triftigen Grund von allfälligen gutachterlichen Beurteilungen abgewichen werden (Urteile 1B_142/2023, 1B_162/2023 vom 19. April 2023 E. 3.6 mit Hinweisen; 6B_468/2016 vom 7. September 2016 E. 2.4).</w:t>
      </w:r>
    </w:p>
    <w:p>
      <w:r>
        <w:rPr>
          <w:b/>
        </w:rPr>
        <w:t>E. 2.4</w:t>
      </w:r>
    </w:p>
    <w:p>
      <w:r>
        <w:t>Entgegen dem Dafürhalten des Beschwerdeführers vermag die Vorinstanz ihren Entscheid auf ernsthafte und objektive Gründe zu stützen. Dabei legt sie schlüssig dar, weshalb sie das Bestehen sowohl von Flucht- wie auch von Wiederholungsgefahr bejaht. Der Beschwerdeführer benennt zwar in seiner Eingabe zutreffend einige für die Beurteilung von Vollzugsöffnungen wesentliche Grundsätze; er greift die von der Vorinstanz zur Begründung konkret verwendeten Elemente indes nicht auf. Stattdessen behauptet er einzig, es würden mit Blick auf sein kooperatives Verhalten im Strafvollzug keine Anzeichen für irgendein Fluchtverhalten bestehen. Betreffend Wiederholungsgefahr verweist er auf seine Teilnahme an einer freiwilligen, deliktorientierten Therapie. Die Annahme von Flucht- und Wiederholungsgefahr werde, so der Beschwerdeführer weiter, durch keinerlei Beweise gestützt. Die Beschwerde endet mit einer freien Schilderung seiner aktuellen persönlichen familiären Situation.</w:t>
      </w:r>
    </w:p>
    <w:p>
      <w:r>
        <w:t>Damit fehlt der Beschwerde insgesamt eine hinreichende Auseinandersetzung mit dem angefochtenen Urteil, zumal die Vorinstanz die vom Beschwerdeführer aufgegriffenen Aspekte wie etwa das Absolvieren einer Therapie, das korrekte Vollzugsverhalten oder die Beziehung zu seiner Partnerin bereits mitberücksichtigt. Nebst dem zieht sie betreffend Fluchtgefahr unter anderem die erhebliche Reststrafe, die verhängte Landesverweisung, die Verbindungen des Beschwerdeführers zu seiner Heimat Spanien sowie seine ungenügende Integration in der Schweiz in ihre Prüfung mit ein. Was die Wiederholungsgefahr angeht, kann sie sich zudem auf fachliche Einschätzungen der Abteilung für forensisch-psychologische Abklärungen (AFA NWI) sowie der Psychiatrischen Dienste Aargau (PDAG) stützen. Weshalb die Erwägungen der Vorinstanz rechtsfehlerhaft sein sollen, vermag der Beschwerdeführer mangels hinreichender Auseinandersetzung damit nicht aufzuzeigen.</w:t>
      </w:r>
    </w:p>
    <w:p>
      <w:r>
        <w:rPr>
          <w:b/>
        </w:rPr>
        <w:t>E. 3</w:t>
      </w:r>
    </w:p>
    <w:p>
      <w:r>
        <w:t>Nach dem Gesagten kann auf die Beschwerde wegen ungenügender Begründung nicht eingetreten werden. Diese muss entsprechend als aussichtslos bezeichnet werden, womit das Gesuch um unentgeltliche Rechtspflege abzuweisen ist (vgl. Art. 64 Abs. 1 BGG ). Damit wird der Beschwerdeführer für das bundesgerichtliche Verfahren kostenpflichtig ( Art. 66 Abs. 1 BGG ), wobei ihm in Anbetracht seiner erwiesenermassen angespannten finanziellen Situation und dem verhältnismässig geringen Aufwand für die Behandlung der Beschwerde reduzierte Gerichtskosten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