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7B_93/2026 vom 17. März 2026</w:t>
      </w:r>
    </w:p>
    <w:p>
      <w:r>
        <w:t>Bundesgericht, 2026-03-17, DE</w:t>
      </w:r>
    </w:p>
    <w:p>
      <w:r>
        <w:rPr>
          <w:b/>
        </w:rPr>
        <w:t xml:space="preserve">Quelle: </w:t>
      </w:r>
      <w:r>
        <w:t>https://mcp.opencaselaw.ch/entscheid/bger_7B_93_2026</w:t>
      </w:r>
    </w:p>
    <w:p>
      <w:r>
        <w:t>FR: TF 7B_93/2026 du 17 mars 2026</w:t>
      </w:r>
    </w:p>
    <w:p>
      <w:r>
        <w:t>IT: TF 7B_93/2026 del 17 marzo 2026</w:t>
      </w:r>
    </w:p>
    <w:p>
      <w:pPr>
        <w:pStyle w:val="Heading2"/>
      </w:pPr>
      <w:r>
        <w:t>Erwägungen</w:t>
      </w:r>
    </w:p>
    <w:p>
      <w:r>
        <w:rPr>
          <w:b/>
        </w:rPr>
        <w:t>E. 1</w:t>
      </w:r>
    </w:p>
    <w:p>
      <w:r>
        <w:t>Mit Beschluss vom 7. Januar 2026 wies das Obergericht des Kantons Solothurn die Beschwerde des Beschwerdeführers gegen die Nichtanhandnahmeverfügung der Staatsanwaltschaft des Kantons Solothurn vom 27. November 2025 ab. Der Beschwerdeführer gelangte dagegen mit Beschwerde in Strafsachen vom 21. Januar 2026 (Postaufgabe) an das Bundesgericht.</w:t>
      </w:r>
    </w:p>
    <w:p>
      <w:r>
        <w:rPr>
          <w:b/>
        </w:rPr>
        <w:t>E. 2</w:t>
      </w:r>
    </w:p>
    <w:p>
      <w:r>
        <w:t>Diese Eingabe ist mangels eines Zivilanspruchs, der dem Beschwerdeführer zustehen und der ihn zur Beschwerde in Strafsachen berechtigen könnte (Art. 81 Abs. 1 lit. b Ziff. 5 BGG; BGE 146 IV 76 E. 3.1; 133 IV 228 E. 2.3.3 ; 131 I 455 E. 1.2.4; je mit Hinweisen; § 2 des Gesetzes über die Haftung des Staates, der Gemeinden, der öffentlich-rechtlichen Körperschaften und Anstalten und die Verantwortlichkeit der Behörden, Beamten und öffentlichen Angestellten und Arbeiter des Kantons Solothurn [Verantwortlichkeitsgesetzes; BGS 124.21]), offensichtlich unzulässig. Auf die Beschwerde ist im vereinfachten Verfahren nicht einzutreten ( Art. 108 Abs. 1 lit. a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