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7B_93/2024 vom 14. Mai 2024</w:t>
      </w:r>
    </w:p>
    <w:p>
      <w:r>
        <w:t>Bundesgericht, 2024-05-14, DE</w:t>
      </w:r>
    </w:p>
    <w:p>
      <w:r>
        <w:rPr>
          <w:b/>
        </w:rPr>
        <w:t xml:space="preserve">Quelle: </w:t>
      </w:r>
      <w:r>
        <w:t>https://mcp.opencaselaw.ch/entscheid/bger_7B_93_2024</w:t>
      </w:r>
    </w:p>
    <w:p>
      <w:r>
        <w:t>FR: TF 7B_93/2024 du 14 mai 2024</w:t>
      </w:r>
    </w:p>
    <w:p>
      <w:r>
        <w:t>IT: TF 7B_93/2024 del 14 maggio 2024</w:t>
      </w:r>
    </w:p>
    <w:p>
      <w:pPr>
        <w:pStyle w:val="Heading2"/>
      </w:pPr>
      <w:r>
        <w:t>Erwägungen</w:t>
      </w:r>
    </w:p>
    <w:p>
      <w:r>
        <w:rPr>
          <w:b/>
        </w:rPr>
        <w:t>E. 1</w:t>
      </w:r>
    </w:p>
    <w:p>
      <w:r>
        <w:t>Gemäss Art. 81 Abs. 1 lit. b Ziff. 5 BGG ist die Privatklägerschaft zur Beschwerde in Strafsachen nur berechtigt, wenn sich der angefochtene Entscheid auf die Beurteilung ihrer Zivilansprüche auswirken kann.</w:t>
      </w:r>
    </w:p>
    <w:p>
      <w:r>
        <w:rPr>
          <w:b/>
        </w:rPr>
        <w:t>E. 1.1</w:t>
      </w:r>
    </w:p>
    <w:p>
      <w:r>
        <w:t>Als Zivilansprüche in diesem Sinne gelten Ansprüche, die ihren Grund im Zivilrecht haben und deshalb ordentlicherweise vor dem Zivilgericht durchgesetzt werden müssen. In erster Linie handelt es sich um Ansprüche auf Schadenersatz und Genugtuung nach Art. 41 ff. OR ( BGE 146 IV 76 E. 3.1; 141 IV 1 E. 1.1; je mit Hinweisen).</w:t>
      </w:r>
    </w:p>
    <w:p>
      <w:r>
        <w:rPr>
          <w:b/>
        </w:rPr>
        <w:t>E. 1.2</w:t>
      </w:r>
    </w:p>
    <w:p>
      <w:r>
        <w:t>Richtet sich die Beschwerde gegen die Einstellung oder Nichtanhandnahme eines Verfahrens, hat die Privatklägerschaft nicht notwendigerweise bereits vor den kantonalen Behörden eine Zivilforderung geltend gemacht. Sie muss vor Bundesgericht daher darlegen, aus welchen Gründen sich der angefochtene Entscheid inwiefern auf welche konkrete Zivilforderung auswirken kann ( Art. 42 Abs. 1 BGG ).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genau geht ( BGE 141 IV 1 E. 1.1; Urteile 7B_78/2023 vom 15. Januar 2024 E. 1.1; 7B_28/2023 vom 24. Oktober 2023 E. 1.1; je mit Hinweisen).</w:t>
      </w:r>
    </w:p>
    <w:p>
      <w:r>
        <w:rPr>
          <w:b/>
        </w:rPr>
        <w:t>E. 1.3</w:t>
      </w:r>
    </w:p>
    <w:p>
      <w:r>
        <w:t>Wer in seiner Persönlichkeit widerrechtlich verletzt wird, hat gemäss Art. 28a Abs. 3 ZGB i.V.m. Art. 49 Abs. 1 OR Anspruch auf Leistung einer Geldsumme als Genugtuung, sofern die Schwere der Verletzung es rechtfertigt und diese nicht anders wiedergutgemacht worden ist. Der Eingriff muss aussergewöhnlich schwer sein und in seinen Auswirkungen das Mass einer Aufregung oder einer alltäglichen Sorge klar übersteigen. Die entsprechenden Voraussetzungen sind von der Privatklägerschaft, die aus einer Straftat Genugtuungsforderungen ableitet und darauf ihre Berechtigung zur Beschwerde in Strafsachen gründet, zumindest in den Umrissen darzulegen und zu substanziieren. Insbesondere ist in der Beschwerde aufzuzeigen, inwiefern die Persönlichkeitsverletzung objektiv und subjektiv schwer wiegt (vgl. Urteile 7B_914/2023 vom 6. März 2024 E. 1.1.3; 7B_78/2023 vom 15. Januar 2024 E. 1.2; je mit Hinweisen). Leichte Persönlichkeitsverletzungen wie beispielsweise unbedeutende Ehrverletzungen rechtfertigen keine finanzielle Genugtuung (Urteile 7B_78/2023 vom 15. Januar 2024 E. 1.2; 6B_1302/2022 vom 3. April 2023 E. 1.3; je mit Hinweis).</w:t>
      </w:r>
    </w:p>
    <w:p>
      <w:r>
        <w:rPr>
          <w:b/>
        </w:rPr>
        <w:t>E. 1.4</w:t>
      </w:r>
    </w:p>
    <w:p>
      <w:r>
        <w:t>Der Beschwerdeführer behauptet in seiner Eingabe an das Bundesgericht, durch die oben im Sachverhaltsabschnitt A wiedergegebenen Passagen werde er in kontrafaktischer Weise herabgesetzt und ihm werde jede Eigenschaft abgesprochen, ein fürsorglicher und integrer Vorgesetzter und Berufsmann zu sein. Der entstandene Gesichts- und Reputationsverlust habe in der Konsequenz zu seinem Rücktritt als Präsident des Elternvereins geführt. Der damit einhergehende Eingriff in seine Ehre wiege für ihn (subjektiv) aussergewöhnlich schwer und übersteige in seinen Auswirkungen das Mass einer blossen Aufregung oder einer alltäglichen Sorge klar.</w:t>
      </w:r>
    </w:p>
    <w:p>
      <w:r>
        <w:t>Dieser Beurteilung kann in objektiver Hinsicht nicht gefolgt werden: Die fraglichen Passagen zeichnen gewiss kein schmeichelhaftes Bild des Beschwerdeführers; allerdings sind sie in einem zivilprozessualen Kontext ergangen, in dem sich die Parteien in einem Streit befinden und in dem bisweilen naturgemäss mit härteren Bandagen gekämpft wird. Diesen Kontext hat der Beschwerdeführer denn auch selber geschaffen, indem er die Persönlichkeitsverletzungsklage gegen die beiden Beschuldigten angestrengt hat. Unter diesen Umständen musste er sich auch darauf einstellen, dass die Entgegnungen in der Klageantwort auf seine Person zielen können. Objektiv betrachtet wiegen diese - wenn sie denn überhaupt eine Persönlichkeitsverletzung darstellen - jedenfalls mit Blick auf den prozessualen Kontext, in dem sie ergangen sind, keineswegs aussergewöhnlich schwer. Es ist daher nicht ersichtlich und vom Beschwerdeführer auch nicht hinreichend dargetan, inwiefern diese Passagen eine Genugtuungsforderung, die ihn zur Beschwerde in Strafsachen berechtigen würde, begründen sollten.</w:t>
      </w:r>
    </w:p>
    <w:p>
      <w:r>
        <w:rPr>
          <w:b/>
        </w:rPr>
        <w:t>E. 1.5</w:t>
      </w:r>
    </w:p>
    <w:p>
      <w:r>
        <w:t>Darüber hinaus bringt der Beschwerdeführer vor, Schadenersatz wegen entgangenem Gewinn zu beanspruchen. Er erläutert diese Forderung jedoch nicht näher, weshalb diese für die Begründung seiner Beschwerdeberechtigung ebenfalls nicht geeignet ist.</w:t>
      </w:r>
    </w:p>
    <w:p>
      <w:r>
        <w:rPr>
          <w:b/>
        </w:rPr>
        <w:t>E. 1.6</w:t>
      </w:r>
    </w:p>
    <w:p>
      <w:r>
        <w:t>Formelle Rügen, die im Sinne der sog. "Star-Praxis" von der Prüfung der Sache getrennt werden können und insoweit aufgrund der Berechtigung, am Verfahren teilzunehmen, ein rechtlich geschütztes Interesse begründen können (vgl. BGE 146 IV 76 E. 2; 141 IV 1 E. 1.1; 138 IV 78 E. 1.3; je mit Hinweisen), erhebt der Beschwerdeführer nicht.</w:t>
      </w:r>
    </w:p>
    <w:p>
      <w:r>
        <w:rPr>
          <w:b/>
        </w:rPr>
        <w:t>E. 2</w:t>
      </w:r>
    </w:p>
    <w:p>
      <w:r>
        <w:t>Nach dem Gesagten erweist sich die Beschwerde als unzulässig, weshalb darauf nicht eingetreten wird.</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