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93/2023 vom 4. April 2024</w:t>
      </w:r>
    </w:p>
    <w:p>
      <w:r>
        <w:t>Bundesgericht, 2024-04-04, DE</w:t>
      </w:r>
    </w:p>
    <w:p>
      <w:r>
        <w:rPr>
          <w:b/>
        </w:rPr>
        <w:t xml:space="preserve">Quelle: </w:t>
      </w:r>
      <w:r>
        <w:t>https://mcp.opencaselaw.ch/entscheid/bger_7B_93_2023</w:t>
      </w:r>
    </w:p>
    <w:p>
      <w:r>
        <w:t>FR: TF 7B 93/2023 du 4 avril 2024</w:t>
      </w:r>
    </w:p>
    <w:p>
      <w:r>
        <w:t>IT: TF 7B 93/2023 del 4 aprile 2024</w:t>
      </w:r>
    </w:p>
    <w:p>
      <w:pPr>
        <w:pStyle w:val="Heading2"/>
      </w:pPr>
      <w:r>
        <w:t>Regeste</w:t>
      </w:r>
    </w:p>
    <w:p>
      <w:r>
        <w:t>Einstellungsverfügung (Amtsmissbrauch, Körperverletzung) | Strafprozess</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Als Zivilansprüche im Sinne von Art. 81 Abs. 1 lit. b Ziff. 5 BGG gelten Ansprüche, die ihren Grund im Zivilrecht haben und deshalb ordentlicherweise vor dem Zivilgericht durchgesetzt werden müssen. Es geht dabei in erster Linie um Ansprüche auf Schadenersatz und Genugtuung gemäss Art. 41 ff. OR ( BGE 146 IV 76 E. 3.1; 141 IV 1 E. 1.1).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146 IV 76 E. 3 mit Hinweisen).</w:t>
      </w:r>
    </w:p>
    <w:p>
      <w:r>
        <w:rPr>
          <w:b/>
        </w:rPr>
        <w:t>E. 1.2</w:t>
      </w:r>
    </w:p>
    <w:p>
      <w:r>
        <w:t>Gemäss § 3 Abs. 1 des Gesetzes des Kantons Basel-Stadt vom 17. November 1999 über die Haftung des Staates und seines Personals (Haftungsgesetz, HG/BS; SG 161.100) haftet der Staat für den Schaden, den sein Personal in Ausübung seiner amtlichen Tätigkeit Dritten widerrechtlich zufügt. Gegenüber dem fehlbaren Personal steht der geschädigten Person kein Anspruch zu (§ 3 Abs. 2 HG/BS). Bei den angezeigten Personen handelt es sich um Polizeibeamte des Kantons Basel-Stadt. Allfällige Schadenersatz- oder Genugtuungsansprüche beurteilen sich daher ausschliesslich nach dem kantonalen Haftungsgesetz und sind öffentlich-rechtlicher Natur. Da der Beschwerdeführerin keine zivilrechtlichen Ansprüche gegen die Polizeibeamten zustehen, ist sie in der Sache nicht zur Beschwerde in Strafsachen legitimiert.</w:t>
      </w:r>
    </w:p>
    <w:p>
      <w:r>
        <w:rPr>
          <w:b/>
        </w:rPr>
        <w:t>E. 1.3</w:t>
      </w:r>
    </w:p>
    <w:p>
      <w:r>
        <w:t>Ohne im Sinne von Art. 81 Abs. 1 lit. b Ziff. 5 BGG zur Beschwerde legitimiert zu sein, kann sich die Privatklägerschaft in der Sache dennoch gegen eine Verfahrenseinstellung oder einen Freispruch zur Wehr setzen, sofern ein verfassungsmässiger oder völkerrechtlicher Anspruch auf Ausfällung der im Gesetz vorgesehenen Strafen besteht. Die Rechtsprechung anerkennt gestützt auf Art. 10 Abs. 3 BV , Art. 3 und Art. 13 EMRK , Art. 7 UNO-Pakt II (SR 0.103.2) sowie Art. 13 des Übereinkommens vom 10. Dezember 1984 gegen Folter und andere grausame, unmenschliche oder erniedrigende Behandlung oder Strafe (SR 0.105) einen Anspruch des Betroffenen auf wirksamen Rechtsschutz ( BGE 141 IV 349 E. 3.4.2; 138 IV 86 E. 3.1.1; je mit Hinweisen). In diesem Sinne hat Anspruch auf eine wirksame und vertiefte amtliche Untersuchung, wer in vertretbarer Weise geltend macht, von staatlichen Stellen misshandelt worden zu sein ( BGE 131 I 455 E. 1.2.5; zum Ganzen: Urteile 7B_472/2023 vom 7. November 2023 E. 3.1; 6B_1306/2022 vom 13. Juni 2023 E. 1.2; je mit Hinweisen). Auf diese verfassungs- bzw. völkerrechtlichen Bestimmungen beruft sich die Beschwerdeführerin nicht, womit sich weitere Erwägungen diesbezüglich erübrigen ( Art. 106 Abs. 2 BGG ).</w:t>
      </w:r>
    </w:p>
    <w:p>
      <w:r>
        <w:rPr>
          <w:b/>
        </w:rPr>
        <w:t>E. 1.4</w:t>
      </w:r>
    </w:p>
    <w:p>
      <w:r>
        <w:t>Soweit die Beschwerdeführerin im Rahmen ihrer Sachverhaltskritik implizit eine Gehörsrüge vorträgt (Beschwerde, Rz. 17), ist diese unzulässig: Dabei geht es im konkreten Fall nicht um die Berechtigung, im Sinne der sog. "Star-Praxis" am Verfahren teilzunehmen (vgl. BGE 146 IV 76 E. 2; 141 IV 1 E. 1.1; 138 IV 78 E. 1.3; je mit Hinweisen), sondern im Ergebnis um eine rein materielle Überprüfung des angefochtenen Entscheids.</w:t>
      </w:r>
    </w:p>
    <w:p>
      <w:r>
        <w:rPr>
          <w:b/>
        </w:rPr>
        <w:t>E. 2</w:t>
      </w:r>
    </w:p>
    <w:p>
      <w:r>
        <w:t>Nach dem Gesagten erweist sich die Beschwerde als unzulässig. Darauf ist nicht einzutreten. Die Gerichtskosten sind entsprechend dem Verfahrensausgang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