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7B_937/2024 vom 13. September 2024</w:t>
      </w:r>
    </w:p>
    <w:p>
      <w:r>
        <w:t>Bundesgericht, 2024-09-13, DE</w:t>
      </w:r>
    </w:p>
    <w:p>
      <w:r>
        <w:rPr>
          <w:b/>
        </w:rPr>
        <w:t xml:space="preserve">Quelle: </w:t>
      </w:r>
      <w:r>
        <w:t>https://mcp.opencaselaw.ch/entscheid/bger_7B_937_2024</w:t>
      </w:r>
    </w:p>
    <w:p>
      <w:r>
        <w:t>FR: TF 7B_937/2024 du 13 septembre 2024</w:t>
      </w:r>
    </w:p>
    <w:p>
      <w:r>
        <w:t>IT: TF 7B_937/2024 del 13 settembre 2024</w:t>
      </w:r>
    </w:p>
    <w:p>
      <w:pPr>
        <w:pStyle w:val="Heading2"/>
      </w:pPr>
      <w:r>
        <w:t>Erwägungen</w:t>
      </w:r>
    </w:p>
    <w:p>
      <w:r>
        <w:rPr>
          <w:b/>
        </w:rPr>
        <w:t>E. 1</w:t>
      </w:r>
    </w:p>
    <w:p>
      <w:r>
        <w:t>Die Beschwerde in Strafsachen gegen den Entscheid des Kantonsgerichts Schwyz vom 19. Juni 2024 wurde mit Eingabe vom 9. September 2024 zurückgezogen. Sie ist damit als gegenstandslos geworden vom Geschäftsverzeichnis abzuschreiben.</w:t>
      </w:r>
    </w:p>
    <w:p>
      <w:r>
        <w:rPr>
          <w:b/>
        </w:rPr>
        <w:t>E. 2</w:t>
      </w:r>
    </w:p>
    <w:p>
      <w:r>
        <w:t>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