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7B_935/2025 vom 30. Oktober 2025</w:t>
      </w:r>
    </w:p>
    <w:p>
      <w:r>
        <w:t>Bundesgericht, 2025-10-30, DE</w:t>
      </w:r>
    </w:p>
    <w:p>
      <w:r>
        <w:rPr>
          <w:b/>
        </w:rPr>
        <w:t xml:space="preserve">Quelle: </w:t>
      </w:r>
      <w:r>
        <w:t>https://mcp.opencaselaw.ch/entscheid/bger_7B_935_2025</w:t>
      </w:r>
    </w:p>
    <w:p>
      <w:r>
        <w:t>FR: TF 7B_935/2025 du 30 octobre 2025</w:t>
      </w:r>
    </w:p>
    <w:p>
      <w:r>
        <w:t>IT: TF 7B_935/2025 del 30 ottobre 2025</w:t>
      </w:r>
    </w:p>
    <w:p>
      <w:pPr>
        <w:pStyle w:val="Heading2"/>
      </w:pPr>
      <w:r>
        <w:t>Erwägungen</w:t>
      </w:r>
    </w:p>
    <w:p>
      <w:r>
        <w:rPr>
          <w:b/>
        </w:rPr>
        <w:t>E. 1</w:t>
      </w:r>
    </w:p>
    <w:p>
      <w:r>
        <w:t>Mit Entscheid vom 28. August 2025 wies das Obergericht des Kantons Aargau eine Beschwerde von A.________ betreffend amtliche Verteidigung ab. Dagegen führt A.________ am 10. September 2025 Beschwerde in Strafsachen an das Bundesgericht. Mit Eingabe vom 24. September 2025 teilt Rechtsanwalt Raffael Gübeli mit, es bestehe kein Mandatsverhältnis zwischen ihm und A.________, er ersuche das Gericht jedoch, das Schreiben als förmliches Gesuch um unentgeltliche Rechtspflege zu Handen von A.________ zu betrachten.</w:t>
      </w:r>
    </w:p>
    <w:p>
      <w:r>
        <w:rPr>
          <w:b/>
        </w:rPr>
        <w:t>E. 2</w:t>
      </w:r>
    </w:p>
    <w:p>
      <w:r>
        <w:t>Die Beschwerdeführerin setzt sich nicht substanziiert mit den Erwägungen der Vorinstanz auseinander, sondern legt einzig ihre Sichtweise dar und macht pauschal geltend, der angefochtene Entscheid der "Betrugs-Behörden" sei "nichtig". Eine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Ebenso wenig einzutreten ist auf ihre Ausführungen, die über den Gegenstand des angefochtenen Entscheids hinausgehen. Die Begründung des Entscheids beschränkt sich auf eine kurze Angabe des Unzulässigkeitsgrundes ( Art. 108 Abs. 3 BGG ).</w:t>
      </w:r>
    </w:p>
    <w:p>
      <w:r>
        <w:rPr>
          <w:b/>
        </w:rPr>
        <w:t>E. 3</w:t>
      </w:r>
    </w:p>
    <w:p>
      <w:r>
        <w:t>Bei diesem Ausgang des Verfahrens wird die Beschwerdeführerin kostenpflichtig ( Art. 66 Abs. 1 BGG ). Sie stellt zwar ein Gesuch um unentgeltliche Rechtspflege, dieses ist jedoch abzuweisen. Zum einen hat die Beschwerdeführerin trotz mehrfacher Aufforderung keine sachdienlichen Unterlagen eingereicht, die ihre Mittellosigkeit belegen würden, zum anderen ist das Gesuch gestützt auf Art. 64 BGG wegen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