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7B_934/2025 vom 29. Oktober 2025</w:t>
      </w:r>
    </w:p>
    <w:p>
      <w:r>
        <w:t>Bundesgericht, 2025-10-29, FR</w:t>
      </w:r>
    </w:p>
    <w:p>
      <w:r>
        <w:rPr>
          <w:b/>
        </w:rPr>
        <w:t xml:space="preserve">Quelle: </w:t>
      </w:r>
      <w:r>
        <w:t>https://mcp.opencaselaw.ch/entscheid/bger_7B_934_2025</w:t>
      </w:r>
    </w:p>
    <w:p>
      <w:r>
        <w:t>FR: TF 7B_934/2025 du 29 octobre 2025</w:t>
      </w:r>
    </w:p>
    <w:p>
      <w:r>
        <w:t>IT: TF 7B_934/2025 del 29 ottobre 2025</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En l'espèce, la cour cantonale a relevé en premier lieu que la recourante avait été mise au bénéfice d'une ordonnance de classement, de sorte qu'elle n'avait aucun intérêt juridique et pratique à recourir contre cette décision en tant qu'elle mettait fin à la poursuite pénale dirigée contre elle (cf. art. 382 al. 1 CPP ). En second lieu, elle a considéré que le mémoire de recours ne comportait aucune conclusion sur la question des frais de la procédure mis à la charge de la recourante et ne satisfaisait en tout état pas aux exigences de motivation prescrites par l' art. 385 al. 1 CPP (cf. arrêt attaqué, consid. 1.3.3).</w:t>
      </w:r>
    </w:p>
    <w:p>
      <w:r>
        <w:rPr>
          <w:b/>
        </w:rPr>
        <w:t>E. 1.3</w:t>
      </w:r>
    </w:p>
    <w:p>
      <w:r>
        <w:t>Face à la motivation cantonale, la recourante se limite à contester la mise à sa charge des frais judiciaires par les autorités cantonales en revenant sur des éléments factuels et en proposant sa propre appréciation de certains moyens de preuve. Ce faisant, elle n'articule aucune critique, conforme aux exigences en la matière, susceptible de démontrer que l'autorité précédente aurait violé le droit fédéral en n'entrant pas en matière sur son acte de recours cantonal.</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Comme le recours était d'emblée dénué de chances de succès, la requête d'exemption des frais judiciaires doit être rejetée (art. 64 al. 1</w:t>
      </w:r>
    </w:p>
    <w:p>
      <w:r>
        <w:t>a contrario LTF), ce qui relève également de la compétence du juge unique prévu par l' art. 108 LTF ( art. 64 al. 3 2 e phrase LTF; arrêt 7B_902/2023 du 10 janvier 2024 consid. 2 et la réf. citée). La recourante, qui succombe, supportera les frais judiciaires; ceux-ci seront toutefois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