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7B_933/2025 vom 24. November 2025</w:t>
      </w:r>
    </w:p>
    <w:p>
      <w:r>
        <w:t>Bundesgericht, 2025-11-24, DE</w:t>
      </w:r>
    </w:p>
    <w:p>
      <w:r>
        <w:rPr>
          <w:b/>
        </w:rPr>
        <w:t xml:space="preserve">Quelle: </w:t>
      </w:r>
      <w:r>
        <w:t>https://mcp.opencaselaw.ch/entscheid/bger_7B_933_2025</w:t>
      </w:r>
    </w:p>
    <w:p>
      <w:r>
        <w:t>FR: TF 7B_933/2025 du 24 novembre 2025</w:t>
      </w:r>
    </w:p>
    <w:p>
      <w:r>
        <w:t>IT: TF 7B_933/2025 del 24 novembre 2025</w:t>
      </w:r>
    </w:p>
    <w:p>
      <w:pPr>
        <w:pStyle w:val="Heading2"/>
      </w:pPr>
      <w:r>
        <w:t>Erwägungen</w:t>
      </w:r>
    </w:p>
    <w:p>
      <w:r>
        <w:rPr>
          <w:b/>
        </w:rPr>
        <w:t>E. 1</w:t>
      </w:r>
    </w:p>
    <w:p>
      <w:r>
        <w:t>Mit Verfügung vom 10. Juli 2025 trat das Kantonsgericht Luzern nicht auf die Beschwerde des Beschwerdeführers gegen die Einstellungsverfügung der Staatsanwaltschaft Abteilung 1 Luzern vom 26. Mai 2025 ein. Der Beschwerdeführer gelangte dagegen mit Eingabe vom 16. August 2025 an das Kantonsgericht, das diese in Anwendung von Art. 48 Abs. 3 BGG an das Bundesgericht weiterleitete, wo sie als Beschwerde in Strafsachen entgegengenommen wurde.</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Formelle Rügen, zu deren Geltendmachung der Beschwerdeführer unbesehen der fehlenden Legitimation in der Sache berechtigt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