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933/2024 vom 8. Oktober 2024</w:t>
      </w:r>
    </w:p>
    <w:p>
      <w:r>
        <w:t>Bundesgericht, 2024-10-08, FR</w:t>
      </w:r>
    </w:p>
    <w:p>
      <w:r>
        <w:rPr>
          <w:b/>
        </w:rPr>
        <w:t xml:space="preserve">Quelle: </w:t>
      </w:r>
      <w:r>
        <w:t>https://mcp.opencaselaw.ch/entscheid/bger_7B_933_2024</w:t>
      </w:r>
    </w:p>
    <w:p>
      <w:r>
        <w:t>FR: TF 7B 933/2024 du 8 octobre 2024</w:t>
      </w:r>
    </w:p>
    <w:p>
      <w:r>
        <w:t>IT: TF 7B 933/2024 del 8 ottobre 2024</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 cour cantonale a considéré que, lacunaire et essentiellement limité au rappel d'un grand nombre de faits, le recours ne satisfaisait pas aux exigences de motivation prescrites par l' art. 385 CPP . Le recourant ne démontrait en effet pas, en s'appuyant sur les motifs de l'ordonnance de non-entrée en matière du 10 novembre 2023, en quoi le comportement qu'il reprochait aux personnes contre lesquelles il avait déposé plainte pénale serait constitutif d'une infraction pénale (cf. arrêt attaqué, consid. 1.3 p. 8 s.).</w:t>
      </w:r>
    </w:p>
    <w:p>
      <w:r>
        <w:rPr>
          <w:b/>
        </w:rPr>
        <w:t>E. 1.3</w:t>
      </w:r>
    </w:p>
    <w:p>
      <w:r>
        <w:t>Face à la motivation cantonale, le recourant se limite pour l'essentiel à rappeler des faits et à formuler des critiques relatives au fond, et non aux motifs ayant fondé l'irrecevabilité de son recours cantonal. En tant qu'il reproche au surplus à la cour cantonale de ne pas lui avoir renvoyé son mémoire conformément à l' art. 385 al. 2 CPP , le recourant n'allègue pas, ni ne tente d'établir, que son acte de recours aurait pu être complété ou corrigé en application de cette disposition nonobstant l'échéance du délai de recours contre l'ordonnance de non-entrée en matière (cf. arrêt 7B_540/2024 du 27 juin 2024 consid. 2.3 et la réf. citée). Son renvoi à des écritures antérieures ne satisfait en tout état pas à l'exigence de motivation selon l' art. 42 al. 1 et 2 LTF (cf. ATF 143 IV 122 consid. 3.3; 141 V 416 consid. 4; 138 IV 47 consid. 2.8.1). Cela étant, le recourant échoue à démontrer, par une motivation conforme aux exigences en la matière, que l'autorité précédente aurait violé le droit fédéral (soit en particulier l' art. 385 CPP ), voire ses droits fondamentaux, en n'entrant pas en matière sur son recours.</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