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7B_930/2025 vom 7. April 2026</w:t>
      </w:r>
    </w:p>
    <w:p>
      <w:r>
        <w:t>Bundesgericht, 2026-04-07, FR</w:t>
      </w:r>
    </w:p>
    <w:p>
      <w:r>
        <w:rPr>
          <w:b/>
        </w:rPr>
        <w:t xml:space="preserve">Quelle: </w:t>
      </w:r>
      <w:r>
        <w:t>https://mcp.opencaselaw.ch/entscheid/bger_7B_930_2025</w:t>
      </w:r>
    </w:p>
    <w:p>
      <w:r>
        <w:t>FR: TF 7B_930/2025 du 7 avril 2026</w:t>
      </w:r>
    </w:p>
    <w:p>
      <w:r>
        <w:t>IT: TF 7B_930/2025 del 7 aprile 2026</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Dirigé contre un arrêt confirmant une ordonnance de non-entrée en matière, soit une décision rendue en matière pénale ( art. 78 LTF ), qui émane d'une autorité cantonale de dernière instance ( art. 80 LTF ) et qui revêt un caractère final ( art. 90 LTF ), le recours est recevable quant à son objet.</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7B_953/2025 du 10 octobre 2025 consid. 1.1; 7B_304/2025 du 23 mai 2025 consid. 1.2.1).</w:t>
      </w:r>
    </w:p>
    <w:p>
      <w:r>
        <w:t>Lorsque la partie plaignante se plaint d'infractions distinctes, elle doit mentionner, par rapport à chacune d'elles, en quoi consiste son dommage (arrêts 7B_1095/2024 du 8 janvier 2025 consid. 2.1; 6B_990/2024 du 6 janvier 2025 consid. 2).</w:t>
      </w:r>
    </w:p>
    <w:p>
      <w:r>
        <w:rPr>
          <w:b/>
        </w:rPr>
        <w:t>E. 1.3</w:t>
      </w:r>
    </w:p>
    <w:p>
      <w:r>
        <w:t>En l'espèce, le recourant indique qu'il entend obtenir la réparation d'un tort moral de l'ordre de 2'000 à 4'000 fr. "en raison de la souffrance morale que lui et son fils auraient subie et qui aurait persisté face aux dénégations et à l'absence de toute prise de conscience de la mise en cause". Il soutient que l'atteinte subie serait grave pour lui et pour son fils, "lequel se trouverait concrètement en danger". Ce faisant, il n'explique toutefois pas en quoi les atteintes alléguées - qu'il n'étaye pas - seraient liées à chacun des comportements reprochés à la mise en cause, respectivement à chacune des infractions dénoncées. La brève motivation du recourant ne permet pas non plus de comprendre en quoi ces atteintes seraient susceptibles de présenter une gravité suffisante (sur le plan tant objectif que subjectif) ni en quoi sa souffrance et celle de son fils seraient assez fortes pour qu'il apparaisse légitime qu'une personne, dans ces circonstances, s'adresse au juge afin d'obtenir réparation de sa souffrance morale. La qualité pour recourir sur le fond du recourant paraît ainsi douteuse. Cette question peut néanmoins rester ouverte dans la mesure où le recours doit de toute manière être rejeté pour les motifs qui suivent.</w:t>
      </w:r>
    </w:p>
    <w:p>
      <w:r>
        <w:rPr>
          <w:b/>
        </w:rPr>
        <w:t>E. 2</w:t>
      </w:r>
    </w:p>
    <w:p>
      <w:r>
        <w:t>En préambule de son argumentation au fond, le recourant mentionne l' art. 29 Cst. , dont il invoque la violation. On cherche toutefois en vain, dans son mémoire de recours, une motivation topique à cet égard. Tout au plus peut-on déduire de son affirmation selon laquelle "l'audition du rédacteur du rapport AEMO du 19 mars 2025 était un acte d'instruction apparaissant pertinent et manifestement de nature à apporter des éléments probants, vu par ailleurs la gravité des faits reprochés" (cf. mémoire de recours p. 10 ch. 69), qu'il reproche à l'autorité précédente de n'avoir pas ordonné l'audition de la personne précitée, en violation de son droit d'être entendu. Or l'arrêt attaqué ne mentionne aucune requête d'audition de témoin. Le recourant ne soutient d'ailleurs pas, dans son mémoire de recours, avoir présenté une telle requête devant l'autorité précédente. Il en va de même en tant que le recourant semble reprocher à l'autorité précédente de ne pas l'avoir entendu (cf. mémoire de recours p. 10 ch. 72). De tels moyens apparaissent donc irrecevables, faute de respecter le principe de l'épuisement des instances cantonales (cf. art. 80 al. 1 LTF ; ATF 145 IV 377 consid. 2.6).</w:t>
      </w:r>
    </w:p>
    <w:p>
      <w:r>
        <w:t>Pour le reste, si tant est qu'il faille considérer qu'en reprochant à l'autorité précédente de n'avoir pas ordonné l'ouverture d'une instruction, le recourant entend se plaindre d'une violation du droit d'être entendu, ses griefs n'ont pas de portée propre et se confondent avec celui de la violation du principe</w:t>
      </w:r>
    </w:p>
    <w:p>
      <w:r>
        <w:t>in dubio pro duriore traité ci-après (cf. consid. 3</w:t>
      </w:r>
    </w:p>
    <w:p>
      <w:r>
        <w:t>infra ).</w:t>
      </w:r>
    </w:p>
    <w:p>
      <w:r>
        <w:t>Il s'ensuit que le grief tiré d'une violation du droit d'être entendu doit être rejeté, dans la mesure où il est recevable.</w:t>
      </w:r>
    </w:p>
    <w:p>
      <w:r>
        <w:rPr>
          <w:b/>
        </w:rPr>
        <w:t>E. 3</w:t>
      </w:r>
    </w:p>
    <w:p>
      <w:r>
        <w:t>Le recourant se plaint d'une violation de l'interdiction de l'arbitraire et du principe</w:t>
      </w:r>
    </w:p>
    <w:p>
      <w:r>
        <w:t>in dubio pro duriore ( art. 310 CPP en lien avec les art. 123, 126 CP et 219 CP).</w:t>
      </w:r>
    </w:p>
    <w:p>
      <w:r>
        <w:rPr>
          <w:b/>
        </w:rPr>
        <w:t>E. 3.1.1</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la cognition est limitée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Les critiques de nature appellatoire sont irrecevables ( ATF 142 III 364 consid. 2.4 et les références citées).</w:t>
      </w:r>
    </w:p>
    <w:p>
      <w:r>
        <w:rPr>
          <w:b/>
        </w:rPr>
        <w:t>E. 3.1.2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3.1.3</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7B_76/2022 du 19 juillet 2024 consid. 2.1.1; 6B_1463/2020 du 5 janvier 2022 consid. 2.1.1; 6B_985/2020 du 23 septembre 2021 consid. 2.1.1).</w:t>
      </w:r>
    </w:p>
    <w:p>
      <w:r>
        <w:t>Le Tribunal fédéral ne revoit l'appréciation anticipée des preuves à laquelle a procédé l'autorité précédente que sous l'angle restreint de l'arbitraire ( ATF 147 IV 534 consid. 2.5.1 et les références).</w:t>
      </w:r>
    </w:p>
    <w:p>
      <w:r>
        <w:rPr>
          <w:b/>
        </w:rPr>
        <w:t>E. 3.1.4</w:t>
      </w:r>
    </w:p>
    <w:p>
      <w:r>
        <w:t>Aux termes de l' art. 123 ch. 1 CP , quiconque, intentionnellement, fait subir à une personne une autre atteinte (que celles tombant sous le coup de l' art. 122 CP ) à l'intégrité corporelle ou à la santé est puni sur plainte d'une peine privative de liberté de trois ans au plus ou d'une peine pécuniaire. L'auteur est poursuivi d'office s'il s'en prend à une personne hors d'état de se défendre ou à une personne, notamment à un enfant, dont il a la garde ou sur laquelle il a le devoir de veiller (ch. 2 al. 2).</w:t>
      </w:r>
    </w:p>
    <w:p>
      <w:r>
        <w:t>Selon l' art. 126 al. 1 CP , celui qui se sera livré sur une personne à des voies de fait qui n'auront causé ni lésion corporelle ni atteinte à la santé sera, sur plainte, puni d'une amende.</w:t>
      </w:r>
    </w:p>
    <w:p>
      <w:r>
        <w:t>Aux termes de l' art. 219 CP , est punissable celui qui aura violé son devoir d'assister ou d'élever une personne mineure dont il aura ainsi mis en danger le développement physique ou psychique, ou qui aura manqué à ce devoir.</w:t>
      </w:r>
    </w:p>
    <w:p>
      <w:r>
        <w:rPr>
          <w:b/>
        </w:rPr>
        <w:t>E. 3.2</w:t>
      </w:r>
    </w:p>
    <w:p>
      <w:r>
        <w:t>La Chambre pénale de recours a retenu que les éléments constitutifs des infractions invoquées par le recourant (lésions corporelles simples, voies de fait et violation du devoir d'assistance ou d'éducation) n'étaient manifestement pas réunis. Il ressortait certes des documents versés à la procédure qu'à la suite de sa fugue le 12 février 2024, C.________ avait déclaré que sa mère l'avait frappé et avait lancé des objets sur lui. Néanmoins, entendu plus longuement par la police selon le protocole NICHD le 27 juin 2024, le prénommé n'avait pas confirmé ses propos, expliquant avoir fugué car il était énervé, sa mère n'arrêtant pas de crier. Il avait en outre expressément infirmé le fait qu'une personne ait pu lui faire du mal ou quelque chose qu'il n'avait pas souhaité. Ce revirement commandait d'apprécier les premières déclarations de l'enfant avec circonspection. Compte tenu des circonstances, il n'était en outre pas exclu qu'il ait dans un premier temps cherché à justifier sa fugue, notamment auprès de son père. Il ressortait en effet du bilan AEMO que tant le comportement que les dires de C.________ pouvaient être impactés par le conflit parental. La mise en cause avait par ailleurs affirmé n'avoir jamais levé la main sur son fils, tout en admettant avoir lancé des coussins dans sa direction et des affaires qu'il laissait traîner, mais jamais sur lui. Aucun élément objectif ne permettait en l'occurrence de suspecter des actes de maltraitance. En particulier, aucun document médical ne fondait de suspicion à cet égard. Le SPMi, qui suivait la situation de la famille depuis plusieurs années, n'avait pas dénoncé la commission potentielle de tels actes par la mère. Aucun acte d'instruction n'apparaissait par ailleurs susceptible d'apporter des éléments probants à cet égard.</w:t>
      </w:r>
    </w:p>
    <w:p>
      <w:r>
        <w:rPr>
          <w:b/>
        </w:rPr>
        <w:t>E. 3.3</w:t>
      </w:r>
    </w:p>
    <w:p>
      <w:r>
        <w:t>Le recourant s'en prend à l'appréciation anticipée des moyens de preuve opérée par la juridiction cantonale. Il lui reproche de n'avoir pas ordonné l'ouverture d'une instruction en dépit des violences subies, "démontrées par pièces dans le cadre de la procédure cantonale". Il se réfère en particulier aux documents relatant les déclarations de C.________ après sa fugue. Selon lui, il serait insoutenable de remettre en cause les premières déclarations de son fils en raison d'un récit postérieur divergent, livré plus de quatre mois après le dépôt de la plainte. Le recourant ne saurait être suivi. La juridiction précédente n'a pas remis en cause les premières déclarations de l'enfant C.________ uniquement parce que celles-ci ne correspondaient pas à ses déclarations ultérieures, mais également parce que des indices convergents (audition selon le protocole NICHD, informations ressortant du bilan AEMO, déclarations de la mise en cause, documents médicaux, dossier du SPMi) permettaient de considérer que le deuxième récit de l'enfant était plus crédible que le premier. Son appréciation à cet égard est exempte d'arbitraire. Pour le reste, le recourant ne remet pas en cause, par une argumentation répondant aux réquisits en la matière ( art. 106 al. 2 LTF ), le constat de l'autorité cantonale qu'aucun autre élément objectif au dossier ne permettait de suspecter de maltraitance et qu'aucun acte d'instruction n'apparaissait susceptible d'apporter des éléments probants à cet égard.</w:t>
      </w:r>
    </w:p>
    <w:p>
      <w:r>
        <w:t>Compte tenu de ce qui précède, la Chambre pénale de recours était fondée à retenir que les éléments constitutifs des infractions dénoncées par le recourant n'étaient manifestement pas réunis et à confirmer l'ordonnance de non-entrée en matière. En tant que le recourant fait valoir, s'agissant de l'application du principe</w:t>
      </w:r>
    </w:p>
    <w:p>
      <w:r>
        <w:t>in dubio pro duriore par la juridiction cantonale, que celle-ci "aurait dû considérer objectivement que le soupçon pesant sur B.________ était suffisamment solide" et que "les probabilités du prononcé d'un acquittement et celui d'une condamnation apparaissent en tous points équivalentes, en particulier s'agissant d'infractions commises sur un enfant qui ne peut pas se défendre, par un parent qui en exerce la garde et sur lequel il a le devoir de veiller", il échoue à démontrer une violation du droit par l'autorité précédente.</w:t>
      </w:r>
    </w:p>
    <w:p>
      <w:r>
        <w:t>À toutes fins utiles, on relèvera encore que contrairement à ce que soutient le recourant, la juridiction précédente n'a pas ignoré que l'infraction de lésions corporelles simples invoquée pouvait, sous sa forme privilégiée (cf. art. 123. ch. 2 al. 2 CP), être poursuivie d'office. Elle a néanmoins retenu qu'en l'espèce, les éléments constitutifs de cette infraction n'étaient manifestement pas réalisés (cf. arrêt querellé consid. 3.3 p. 9).</w:t>
      </w:r>
    </w:p>
    <w:p>
      <w:r>
        <w:rPr>
          <w:b/>
        </w:rPr>
        <w:t>E. 3.4</w:t>
      </w:r>
    </w:p>
    <w:p>
      <w:r>
        <w:t>Il s'ensuit que la Chambre pénale de recours n'a pas fait preuve d'arbitraire ni violé le droit fédéral en confirmant l'ordonnance de non-entrée en matière rendue par le Ministère public.</w:t>
      </w:r>
    </w:p>
    <w:p>
      <w:r>
        <w:rPr>
          <w:b/>
        </w:rPr>
        <w:t>E. 4</w:t>
      </w:r>
    </w:p>
    <w:p>
      <w:r>
        <w:t>Le recours doit par conséquent être rejeté dans la faible mesure de sa recevabilité.</w:t>
      </w:r>
    </w:p>
    <w:p>
      <w:r>
        <w:t>Comme il était dénué de chances de succès, la demande d'assistance judiciaire doit être rejetée ( art. 64 al. 1 LTF ). Le recourant, qui succombe, supportera les frais judiciaires ( art. 66 al. 1 LTF ). Ces frais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