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7B_92/2026 vom 12. Februar 2026</w:t>
      </w:r>
    </w:p>
    <w:p>
      <w:r>
        <w:t>Bundesgericht, 2026-02-12, FR</w:t>
      </w:r>
    </w:p>
    <w:p>
      <w:r>
        <w:rPr>
          <w:b/>
        </w:rPr>
        <w:t xml:space="preserve">Quelle: </w:t>
      </w:r>
      <w:r>
        <w:t>https://mcp.opencaselaw.ch/entscheid/bger_7B_92_2026</w:t>
      </w:r>
    </w:p>
    <w:p>
      <w:r>
        <w:t>FR: TF 7B_92/2026 du 12 février 2026</w:t>
      </w:r>
    </w:p>
    <w:p>
      <w:r>
        <w:t>IT: TF 7B_92/2026 del 12 febbraio 2026</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l'occurrence, la cour cantonale a considéré que les risques de collusion et de réitération qu'elle avait retenus dans ses deux précédents arrêts relatifs à la détention provisoire du recourant - lesquels ont été confirméS par le Tribunal fédéral (cf. arrêts 7B_1270/2025 du 17 décembre 2025 et 7B_1380/2025 du 15 janvier 2026) - existaient encore faute de modification de la situation. Elle a en outre souligné que le maintien en détention du recourant respectait le principe de la proportionnalité au vu de la peine concrètement encourue par celui-ci.</w:t>
      </w:r>
    </w:p>
    <w:p>
      <w:r>
        <w:rPr>
          <w:b/>
        </w:rPr>
        <w:t>E. 1.3</w:t>
      </w:r>
    </w:p>
    <w:p>
      <w:r>
        <w:t>Face à cette motivation, le recourant se contente en substance de réitérer les arguments qu'il avait déjà développés dans ses précédents recours - soit que les faits qui lui sont reprochés ne seraient pas d'une extrême gravité, étant donné le contexte du conflit et les dysfonctionnements graves de l'administration cantonale, et qu'il assumerait ses responsabilités pénales lors de son procès (cf. arrêts 7B_1270/2025 du 17 décembre 2025 consid. 4 et 7B_1380/2025 du 15 janvier 2026 consid. 5) - afin de démontrer que son maintien en détention serait disproportionné et excessif. Cette argumentation n'est toutefois pas de nature à démontrer que les considérations de la cour cantonale violeraient le droit fédéral (cf. art. 42 al. 1 et 2 LTF ) et moins encore un droit fondamental du recourant (cf. art. 106 al. 2 LTF ). Il en va par ailleurs de même de son argument selon lequel la cour cantonale n'aurait pas tenu compte "du fond de l'affaire (...), à savoir le conflit qui enrageait entre [s]a personne et les employés cantonaux", ce qui "atténuera[it] la peine encourue," afin d'examiner la proportionnalité de son maintien en détention.</w:t>
      </w:r>
    </w:p>
    <w:p>
      <w:r>
        <w:rPr>
          <w:b/>
        </w:rPr>
        <w:t>E. 2</w:t>
      </w:r>
    </w:p>
    <w:p>
      <w:r>
        <w:t>L'irrecevabilité manifeste du recours doit ainsi être constatée dans la procédure prévue par l' art. 108 al. 1 let.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