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7B_928/2025 vom 1. Dezember 2025</w:t>
      </w:r>
    </w:p>
    <w:p>
      <w:r>
        <w:t>Bundesgericht, 2025-12-01, FR</w:t>
      </w:r>
    </w:p>
    <w:p>
      <w:r>
        <w:rPr>
          <w:b/>
        </w:rPr>
        <w:t xml:space="preserve">Quelle: </w:t>
      </w:r>
      <w:r>
        <w:t>https://mcp.opencaselaw.ch/entscheid/bger_7B_928_2025</w:t>
      </w:r>
    </w:p>
    <w:p>
      <w:r>
        <w:t>FR: TF 7B_928/2025 du 1 décembre 2025</w:t>
      </w:r>
    </w:p>
    <w:p>
      <w:r>
        <w:t>IT: TF 7B_928/2025 del 1 dicembre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 En matière d'infractions contre le patrimoine, la partie plaignante doit fournir des explications précises sur le dommage éprouvé, sinon le recours est irrecevable (arrêt 7B_77/2022 du 12 décembre 2023 consid. 2.2.1 et les références citées). Si la partie plaignante invoque des infractions distinctes, elle doit en outre mentionner par rapport à chacune d'elles en quoi consiste son dommage (arrêts 7B_222/2024 du 28 février 2024 consid. 1.1; 7B_79/2022 du 10 janvier 2024 consid. 1.1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1.2.1</w:t>
      </w:r>
    </w:p>
    <w:p>
      <w:r>
        <w:t>En l'espèce, pour fonder leur qualité pour recourir au Tribunal fédéral, les recourants indiquent qu'ils auraient "largement démontré à l'appui de leur recours du 28 février 2025 devant la Chambre pénale de recours (...) que les infractions dénoncées leur ont causé un lourd dommage et qu'ils disposent, par conséquent, de prétentions civiles au sens de l' art. 81 al. 1 ch. 5 LTF ". Cela étant, ils échouent à établir, par une motivation conforme aux exigences en la matière, quelles sont les prétentions civiles qu'ils pourraient faire valoir, par adhésion au procès pénal, envers la personne contre laquelle ils ont porté plainte pénale pour notamment "violation du secret professionnel de l'avocat en tant qu'auxiliaire" ( art. 321 CP ), violation du secret commercial ( art. 162 CP ), soustraction de données ( art. 143 CP ) et détérioration de données ( art. 144bis CP ). Leur renvoi à leur recours cantonal, soit à une écriture antérieure, ne satisfait en tout état pas à l'exigence de motivation selon l' art. 42 al. 1 et 2 LTF (cf. ATF 143 IV 122 consid. 3.3; 141 V 416 consid. 4; 138 IV 47 consid. 2.8.1). Le "lourd dommage" qu'ils invoquent ne peut en outre pas être déduit des infractions alléguées. Les recourants ne démontrent ainsi pas avoir la qualité pour recourir sur le fond en application de l'art. 81 al. 1 let. a et b ch. 5 LTF.</w:t>
      </w:r>
    </w:p>
    <w:p>
      <w:r>
        <w:rPr>
          <w:b/>
        </w:rPr>
        <w:t>E. 1.2.2</w:t>
      </w:r>
    </w:p>
    <w:p>
      <w:r>
        <w:t>L'hypothèse visée à l'art. 81 al. 1 let. b ch. 6 LTF n'entre pas non plus en considération, dès lors que les recourants ne soulèvent aucun grief concernant spécifiquement leur droit de porter plainte.</w:t>
      </w:r>
    </w:p>
    <w:p>
      <w:r>
        <w:rPr>
          <w:b/>
        </w:rPr>
        <w:t>E. 1.2.3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 En l'occurrence, les recourants reprochent à la cour cantonale de ne pas avoir donné suite à plusieurs de leurs réquisitions de preuves et d'avoir ainsi violé leur droit d'être entendu et commis un déni de justice formel. Leurs développements à cet égard ne visent qu'à démontrer en quoi les mesures requises auraient été nécessaires afin d'établir leurs accusations. Or le refus d'une mesure d'instruction implique d'examiner la pertinence de celle-ci, aspect qui ne peut être appréhendé sans se pencher sur le fond de la cause (parmi de nombreux arrêts, cf. arrêts 6B_987/2020 du 4 mars 2021 consid. 2.1; 6B_427/2019 du 30 avril 2019 consid. 2). Il en va de même, pour cette raison, du grief subsidiaire tiré d'une violation des art. 314 al. 1 let. a et 319 al. 1 let. a CPP, dans la mesure où, à l'appui de ce moyen, les recourants font valoir que le Ministère public aurait "reconnu qu'il existe des soupçons suffisants à l'encontre des deux prévenus" (recours, p. 20). Il n'y a donc pas lieu d'entrer en matière sur l'argument selon lequel le Ministère public "aurait tout au plus pu suspendre la procédure en application de l' art. 314 CPP " ( ibidem ). Il s'ensuit que ces griefs sont irrecevables à défaut de pouvoir être séparés du fond.</w:t>
      </w:r>
    </w:p>
    <w:p>
      <w:r>
        <w:rPr>
          <w:b/>
        </w:rPr>
        <w:t>E. 2</w:t>
      </w:r>
    </w:p>
    <w:p>
      <w:r>
        <w:t>L'irrecevabilité manifeste du recours doit dès lors être constatée dans la procédure prévue par l' art. 108 al. 1 let. a LTF . Les recourants, qui succombent, supporteront les frais judiciaires solidairement entre eux (art. 65 al. 2 et 66 al. 1 et 5 LTF). 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