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917/2023 vom 5. Dezember 2023</w:t>
      </w:r>
    </w:p>
    <w:p>
      <w:r>
        <w:t>Bundesgericht, 2023-12-05, FR</w:t>
      </w:r>
    </w:p>
    <w:p>
      <w:r>
        <w:rPr>
          <w:b/>
        </w:rPr>
        <w:t xml:space="preserve">Quelle: </w:t>
      </w:r>
      <w:r>
        <w:t>https://mcp.opencaselaw.ch/entscheid/bger_7B_917_2023</w:t>
      </w:r>
    </w:p>
    <w:p>
      <w:r>
        <w:t>FR: TF 7B 917/2023 du 5 décembre 2023</w:t>
      </w:r>
    </w:p>
    <w:p>
      <w:r>
        <w:t>IT: TF 7B 917/2023 del 5 dicembre 2023</w:t>
      </w:r>
    </w:p>
    <w:p>
      <w:pPr>
        <w:pStyle w:val="Heading2"/>
      </w:pPr>
      <w:r>
        <w:t>Regeste</w:t>
      </w:r>
    </w:p>
    <w:p>
      <w:r>
        <w:t>Refus de la qualité de partie plaignante | Procédure pénale</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2</w:t>
      </w:r>
    </w:p>
    <w:p>
      <w:r>
        <w:t>L'arrêt attaqué ne met pas fin à la procédure pénale ouverte contre le recourant et revêt un caractère incident. Il ne s'agit pas d'une décision séparée portant sur la compétence ou sur une demande de récusation, de sorte que l' art. 92 LTF n'est pas applicable. Le recours en matière pénale n'est donc recevable qu'aux conditions posées à l' art. 93 al. 1 let. a LTF . L'hypothèse de l' art. 93 al. 1 let. b LTF n'est manifestement pas réalisée en l'occurrence et le recourant ne s'en prévaut d'ailleurs pas pour établir la recevabilité de son recours.</w:t>
      </w:r>
    </w:p>
    <w:p>
      <w:r>
        <w:rPr>
          <w:b/>
        </w:rPr>
        <w:t>E. 2.1</w:t>
      </w:r>
    </w:p>
    <w:p>
      <w:r>
        <w:t>Le préjudice irréparable au sens de l' art. 93 al. 1 let. a LTF se rapporte à un dommage de nature juridique qui ne puisse pas être réparé ultérieurement par un jugement final ou une autre décision favorable au recourant ( ATF 148 IV 155 consid. 1.1; 147 IV 188 consid. 1.3.2; 144 IV 127 consid. 1.3.1). Il incombe au recourant de démontrer l'existence d'un tel préjudice lorsque celui-ci n'est pas d'emblée évident (cf. art. 42 al. 2 LTF ; ATF 148 IV 155 consid. 1.1 in fine; 141 IV 284 consid. 2.3). De jurisprudence constante, une décision qui reconnaît à un tiers la qualité de partie plaignante dans une procédure pénale ne cause en règle générale au prévenu aucun préjudice irréparable qu'une décision finale ne ferait pas disparaître entièrement; le simple fait d'avoir à affronter une partie de plus lors de la procédure ne constitue pas un tel préjudice. Par ailleurs, en cas de condamnation confirmée par les instances cantonales de recours, le prévenu aura la possibilité de se plaindre en dernier ressort, devant le Tribunal fédéral, d'une mauvaise application des dispositions de procédure pénale relatives à la qualité de partie plaignante (arrêts 6B_267/2022 du 1er février 2023 consid. 2.6; 1B_510/2021 du 7 juin 2022 consid. 1.2; 1B_183/2021 du 21 septembre 2021 consid. 2.1; voir également ATF 128 I 215 consid. 2.1).</w:t>
      </w:r>
    </w:p>
    <w:p>
      <w:r>
        <w:rPr>
          <w:b/>
        </w:rPr>
        <w:t>E. 2.2.1</w:t>
      </w:r>
    </w:p>
    <w:p>
      <w:r>
        <w:t>Contrairement tout d'abord à ce que semble croire le recourant (cf. p. 4 du recours), un préjudice irréparable ne résulte pas de la décision de l'autorité précédente accordant l'effet suspensif pour la procédure cantonale de recours. L'appréciation de cette question émise par la cour cantonale afin de préserver un objet au litige ne lie en effet pas le Tribunal fédéral (cf. consid. 1 supra).</w:t>
      </w:r>
    </w:p>
    <w:p>
      <w:r>
        <w:rPr>
          <w:b/>
        </w:rPr>
        <w:t>E. 2.2.2</w:t>
      </w:r>
    </w:p>
    <w:p>
      <w:r>
        <w:t>Le recourant ne saurait pas non plus invoquer, sans autre motivation, le droit de la partie plaignante d'avoir accès au dossier pour démontrer l'existence d'un préjudice irréparable. Selon la jurisprudence constante, il s'agit en effet d'un inconvénient potentiel inhérent à l'existence d'une procédure pénale, insuffisant pour admettre un préjudice irréparable (arrêts 7B_327/2023 du 4 septembre 2023 consid. 2.3.2; 1B_183/2021 du 21 septembre 2021 consid. 2.2 et les arrêts cités). Il ne faut d'ailleurs pas perdre de vue qu'en l'état, le recourant conserve, à la suite de l'admission de l'intimé en tant que partie plaignante, la possibilité de solliciter des mesures de protection (cf. les art. 73 al. 2, 102 al. 1 ou 108 CPP), de sorte que le préjudice allégué est susceptible d'être réparé par une décision ultérieure (arrêts 7B_205/2023 du 31 août 2023 consid. 5.1.3; 1B_183/2021 du 21 septembre 2021 consid. 2.2 et les arrêts cités).</w:t>
      </w:r>
    </w:p>
    <w:p>
      <w:r>
        <w:rPr>
          <w:b/>
        </w:rPr>
        <w:t>E. 2.2.3</w:t>
      </w:r>
    </w:p>
    <w:p>
      <w:r>
        <w:t>Un préjudice irréparable ne résulte enfin pas non plus en l'occurrence du risque que la partie plaignante puisse transmettre aux autorités françaises des pièces du dossier pénal suisse, soit en particulier les données extraites par la police suisse du téléphone portable et des autres supports informatiques du recourant en lien avec d'éventuelles infractions similaires qui auraient été commises en France au préjudice de la même victime, à savoir l'intimé (cf. p. 4 du recours; voir arrêt 1B_559/2018 du 12 mars 2019 faisant état de l'hypothèse envisagée par ANDREW M. GARBARSKI pour établir un préjudice irréparable, à savoir l'utilisation des pièces dans le cadre d'une procédure judiciaire parallèle opposant les mêmes parties et portant sur le même complexe de faits [Le lésé et la partie plaignante en procédure pénale : état des lieux de la jurisprudence récente, in SJ 2013 II 123, ad F p. 139 s.; voir également du même auteur et sur ces mêmes questions, SJ 2017 II 125, spéc. p. 140 ss]). En effet, au vu de la teneur de la demande d'entraide formée par les autorités suisses le 11 août 2023 (cf. acte 4 pièce 11 spécialement p. 2) - à laquelle était annexé le rapport d'investigation de la police du 11 août 2023 faisant notamment état des résultats de l'analyse du téléphone portable du recourant (cf. acte 4 pièce 7 spécialement p. 3 s.) -, les autorités françaises connaissent non seulement l'existence de la procédure pénale en Suisse, mais également celle des données figurant au dossier pénal helvétique mettant en cause le recourant pour des actes commis en France. Ayant effectué les saisies requises par la Suisse au domicile du recourant, elles pourraient également avoir déjà connaissance de leur contenu, éventuellement à charge du recourant; ce dernier relève d'ailleurs que l'ouverture de la procédure pénale française découle de la demande d'entraide suisse (cf. p. 5 du recours). Dans la mesure où les autorités françaises ne l'auraient pas déjà fait, elles disposent ainsi, indépendamment de toute intervention ou production de la part de l'intimé, des informations nécessaires pour demander aux autorités suisses la transmission des pièces de leur dossier en application des règles de l'entraide (voir au demeurant l' art. 67a EIMP [RS 351.1] permettant, le cas échéant, la transmission spontanée de moyens de preuve et d'informations; en lien avec cette problématique, voir notamment ROBERT ZIMMERMAN, La coopération judiciaire internationale en matière pénale, 5e éd. 2019, n. 413 ss p. 443 ss; ALEXANDER M. GLUTZ, in Basler Kommentar, Internationales Strafrecht, 2015, ad art. 67a EIMP ). Le recourant ne soutient d'ailleurs pas qu'il ne serait pas partie dans une telle procédure, dans laquelle il pourrait ainsi, le cas échéant, défendre ses droits. Il ne prétend pas non plus que, dans la procédure pénale française, il ne disposerait d'aucune possibilité pour contester l'exploitation des pièces que pourrait produire l'intimé.</w:t>
      </w:r>
    </w:p>
    <w:p>
      <w:r>
        <w:rPr>
          <w:b/>
        </w:rPr>
        <w:t>E. 2.2.4</w:t>
      </w:r>
    </w:p>
    <w:p>
      <w:r>
        <w:t>En l'état, l'admission de l'intimé en tant que partie plaignante à la procédure pénale ne cause aucun préjudice irréparable au recourant qu'aucune décision ultérieure ne serait à même de réparer.</w:t>
      </w:r>
    </w:p>
    <w:p>
      <w:r>
        <w:rPr>
          <w:b/>
        </w:rPr>
        <w:t>E. 3</w:t>
      </w:r>
    </w:p>
    <w:p>
      <w:r>
        <w:t>Il s'ensuit que le recours doit être déclaré irrecevable.</w:t>
      </w:r>
    </w:p>
    <w:p>
      <w:r>
        <w:rPr>
          <w:b/>
        </w:rPr>
        <w:t>E. 3.1</w:t>
      </w:r>
    </w:p>
    <w:p>
      <w:r>
        <w:t>Le recourant a demandé l'octroi de l'assistance judiciaire (cf. art. 64 al. 1 LTF ). Son recours était cependant d'emblée dénué de chances de succès et cette requête doit être rejetée. Dès lors qu'il succombe, il supportera les frais judiciaires (cf. art. 66 al. 1 LTF ), lesquels seront fixés en tenant compte de sa situation financière. En l'absence d'échange d'écritures, il n'y a pas lieu d'allouer de dépens ( art. 68 al.1 et 3 LTF ).</w:t>
      </w:r>
    </w:p>
    <w:p>
      <w:r>
        <w:rPr>
          <w:b/>
        </w:rPr>
        <w:t>E. 3.2</w:t>
      </w:r>
    </w:p>
    <w:p>
      <w:r>
        <w:t>Vu l'issue du présent litige, la demande de mesures provisionnelles ou d'octroi de l'effet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