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7B_916/2024 vom 9. Oktober 2024</w:t>
      </w:r>
    </w:p>
    <w:p>
      <w:r>
        <w:t>Bundesgericht, 2024-10-09, FR</w:t>
      </w:r>
    </w:p>
    <w:p>
      <w:r>
        <w:rPr>
          <w:b/>
        </w:rPr>
        <w:t xml:space="preserve">Quelle: </w:t>
      </w:r>
      <w:r>
        <w:t>https://mcp.opencaselaw.ch/entscheid/bger_7B_916_2024</w:t>
      </w:r>
    </w:p>
    <w:p>
      <w:r>
        <w:t>FR: TF 7B_916/2024 du 9 octobre 2024</w:t>
      </w:r>
    </w:p>
    <w:p>
      <w:r>
        <w:t>IT: TF 7B_916/2024 del 9 ottobre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Face aux motifs ressortant de la décision entreprise, selon lesquels son acte de recours ne satisfaisait pas aux exigences de motivation prescrites par l' art. 385 CPP (cf. arrêt attaqué, p. 4 s.), le recourant ne propose aucune motivation mettant en évidence en quoi l'autorité précédente aurait violé le droit fédéral en n'entrant pas en matière sur son recours cantonal. Il se limite en effet, par une motivation non conforme aux exigences en la matière, à formuler des critiques qui se rapportent au fond et à invoquer une violation de son droit à un procès équitable.</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En tant que le recourant soutient être incapable de rédiger un "acte de droit" correctement motivé et suffisamment clair, on rappellera qu'en application de l' art. 41 al. 1 LTF , l'attribution d'un avocat par le Tribunal fédéral - que le recourant ne requiert pas explicitement -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 6B_1354/2023 du 23 janvier 2024 consid. 21 et les réf. citées).</w:t>
      </w:r>
    </w:p>
    <w:p>
      <w:r>
        <w:t>Or, en l'occurrence, le recourant n'allègue pas qu'en raison de son état de santé, il aurait été totalement incapable de procéder par lui-même, ni n'expose en quoi il aurait été empêché de mandater un avocat de son choix. Il n'y a dès lors pas lieu de lui attribuer un avocat conformément à l' art. 41 al. 1 LTF .</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