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7B_914/2024 vom 2. September 2024</w:t>
      </w:r>
    </w:p>
    <w:p>
      <w:r>
        <w:t>Bundesgericht, 2024-09-02, DE</w:t>
      </w:r>
    </w:p>
    <w:p>
      <w:r>
        <w:rPr>
          <w:b/>
        </w:rPr>
        <w:t xml:space="preserve">Quelle: </w:t>
      </w:r>
      <w:r>
        <w:t>https://mcp.opencaselaw.ch/entscheid/bger_7B_914_2024</w:t>
      </w:r>
    </w:p>
    <w:p>
      <w:r>
        <w:t>FR: TF 7B_914/2024 du 2 septembre 2024</w:t>
      </w:r>
    </w:p>
    <w:p>
      <w:r>
        <w:t>IT: TF 7B_914/2024 del 2 settembre 2024</w:t>
      </w:r>
    </w:p>
    <w:p>
      <w:pPr>
        <w:pStyle w:val="Heading2"/>
      </w:pPr>
      <w:r>
        <w:t>Erwägungen</w:t>
      </w:r>
    </w:p>
    <w:p>
      <w:r>
        <w:rPr>
          <w:b/>
        </w:rPr>
        <w:t>E. 1</w:t>
      </w:r>
    </w:p>
    <w:p>
      <w:r>
        <w:t>Das Obergericht des Kantons Zürich übermittelte dem Bundesgericht am 21. August 2024 zuständigkeitshalber eine Eingabe von A.________ vom 19. August 2024 mit dem Titel "Anmeldung der Berufung gegen dieses Dokument und die darin erhaltenen Entscheide" weiter. Aufgrund dieses Übermittlungsschreibens und des Inhalts der Eingabe vom 19. August 2023, wonach "Berufung gegen das ganze Dokument angemeldet werde" und dem "Berufungsgericht zu übermitteln sei", hat das Bundesgericht ein Verfahren eröffnet und A.________ mit Eingangsanzeige vom 26. August 2024 darüber informiert.</w:t>
      </w:r>
    </w:p>
    <w:p>
      <w:r>
        <w:t>Mit Schreiben vom 28. August 2024 wendet sich A.________ an das Bundesgericht und macht geltend, sie habe nie eine Beschwerde gegen die Verfügung und den Beschluss der III. Strafkammer des Obergerichts vom 17. Juli 2024 beim Bundesgericht eingereicht.</w:t>
      </w:r>
    </w:p>
    <w:p>
      <w:r>
        <w:rPr>
          <w:b/>
        </w:rPr>
        <w:t>E. 2</w:t>
      </w:r>
    </w:p>
    <w:p>
      <w:r>
        <w:t>Bei dieser Sachlage wird das Verfahren gegenstandslos und ist vom Präsidenten als Einzelrichter im Verfahren nach Art. 32 Abs. 2 BGG abzuschreiben.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