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913/2024 vom 17. Oktober 2024</w:t>
      </w:r>
    </w:p>
    <w:p>
      <w:r>
        <w:t>Bundesgericht, 2024-10-17, FR</w:t>
      </w:r>
    </w:p>
    <w:p>
      <w:r>
        <w:rPr>
          <w:b/>
        </w:rPr>
        <w:t xml:space="preserve">Quelle: </w:t>
      </w:r>
      <w:r>
        <w:t>https://mcp.opencaselaw.ch/entscheid/bger_7B_913_2024</w:t>
      </w:r>
    </w:p>
    <w:p>
      <w:r>
        <w:t>FR: TF 7B 913/2024 du 17 octobre 2024</w:t>
      </w:r>
    </w:p>
    <w:p>
      <w:r>
        <w:t>IT: TF 7B 913/2024 del 17 ottobre 2024</w:t>
      </w:r>
    </w:p>
    <w:p>
      <w:pPr>
        <w:pStyle w:val="Heading2"/>
      </w:pPr>
      <w:r>
        <w:t>Regeste</w:t>
      </w:r>
    </w:p>
    <w:p>
      <w:r>
        <w:t>Ordonnance de non-entrée en matière; irrecevabilité du recours en matière pénale (qualité pour recourir et motivation insuffisante)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146 IV 76 consid. 3.1).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 Il peut en aller ainsi en cas d'infraction portant directement atteinte à l'intégrité physique, psychique ou sexuelle, dont la gravité apparaît telle qu'elle ouvrirait incontestablement le droit à des dommages-intérêts ou à une indemnité pour tort moral (arrêts 7B_506/2024 du 8 juillet 2024 consid. 1.1; 7B_566/2023 du 14 mai 2024 consid. 1.2.1).</w:t>
      </w:r>
    </w:p>
    <w:p>
      <w:r>
        <w:rPr>
          <w:b/>
        </w:rPr>
        <w:t>E. 1.2</w:t>
      </w:r>
    </w:p>
    <w:p>
      <w:r>
        <w:t>En l'espèce, la recourante ne dit mot, dans son recours, au sujet de ses éventuelles prétentions civiles envers les différentes personnes contre lesquelles elle a déposé plainte pénale pour violation du devoir d'assistance ou d'éducation ( art. 219 CP ), faux dans les titres ou les certificats ( art. 251 ou 252 CP ) et abus d'autorité ( art. 312 CP ), soit en l'occurrence contre B.________, professeur de sa fille, alors scolarisée au collège C.________, D.________, responsable d'équipe à l'Office de protection de l'enfant, E.________, intervenante auprès de ce même office, et F.________, inspectrice de police. De surcroît, les personnes dont il est question paraissent être des agents de collectivités publiques et les faits dénoncés par la recourante se rapportent au comportement que ceux-ci auraient adopté dans l'exercice de leurs fonctions. La recourante ne disposerait dès lors à leur égard, de toute manière, que de prétentions de droit public à faire valoir non pas contre les auteurs présumés, mais contre l'État (cf. art. 61 al. 1 CO ; cf. art. 5 al. 1 et 9 de la loi neuchâteloise du 29 septembre 2020 sur la responsabilité des collectivités publiques et de leurs agents [LResp; RSN 150.10]); or celles-ci ne peuvent pas être invoquées dans le procès pénal par voie d'adhésion et ne constituent donc pas des prétentions civiles au sens de l' art. 81 LTF ( ATF 146 IV 76 consid. 3.1; 138 IV 86 consid. 3.1).</w:t>
      </w:r>
    </w:p>
    <w:p>
      <w:r>
        <w:rPr>
          <w:b/>
        </w:rPr>
        <w:t>E. 1.3</w:t>
      </w:r>
    </w:p>
    <w:p>
      <w:r>
        <w:t>Il s'ensuit qu'en l'absence de toute explication sur ses éventuelles prétentions et le caractère civil de celles-ci, la recourante ne démontre pas à satisfaction de droit avoir qualité pour recourir en application de l'art. 81 al. 1 let. b ch. 5 LTF.</w:t>
      </w:r>
    </w:p>
    <w:p>
      <w:r>
        <w:rPr>
          <w:b/>
        </w:rPr>
        <w:t>E. 2</w:t>
      </w:r>
    </w:p>
    <w:p>
      <w:r>
        <w:t>La recourante ne soulève par ailleurs aucun grief quant à son droit de porter plainte au sens de l'art. 81 al. 1 let. b ch. 6 LTF, ni n'invoque une violation de ses droits de partie équivalant à un déni de justice formel (cf. ATF 146 IV 76 consid. 2).</w:t>
      </w:r>
    </w:p>
    <w:p>
      <w:r>
        <w:rPr>
          <w:b/>
        </w:rPr>
        <w:t>E. 3</w:t>
      </w:r>
    </w:p>
    <w:p>
      <w:r>
        <w:t>Enfin, la recourante ne formule aucun grief distinct et recevable sous l'angle des art. 7, 8, 10, 13 et 16 Cst. qu'elle invoque (cf. art. 42 al. 2 et 106 al. 2 LTF; voir également les ATF 146 IV 297 consid. 1.2 et 145 V 304 consid. 1.2).</w:t>
      </w:r>
    </w:p>
    <w:p>
      <w:r>
        <w:rPr>
          <w:b/>
        </w:rPr>
        <w:t>E. 4</w:t>
      </w:r>
    </w:p>
    <w:p>
      <w:r>
        <w:t>Ne répondant ainsi manifestement pas aux exigences de recevabilité et de motivation d'un recours en matière pénale au Tribunal fédéral, le recours doit être déclaré irrecevable selon la procédure simplifiée prévue par l' art. 108 al. 1 let. a et b LTF .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