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7B_90/2024 vom 8. Juli 2024</w:t>
      </w:r>
    </w:p>
    <w:p>
      <w:r>
        <w:t>Bundesgericht, 2024-07-08, FR</w:t>
      </w:r>
    </w:p>
    <w:p>
      <w:r>
        <w:rPr>
          <w:b/>
        </w:rPr>
        <w:t xml:space="preserve">Quelle: </w:t>
      </w:r>
      <w:r>
        <w:t>https://mcp.opencaselaw.ch/entscheid/bger_7B_90_2024</w:t>
      </w:r>
    </w:p>
    <w:p>
      <w:r>
        <w:t>FR: TF 7B_90/2024 du 8 juillet 2024</w:t>
      </w:r>
    </w:p>
    <w:p>
      <w:r>
        <w:t>IT: TF 7B_90/2024 del 8 luglio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Les pièces ultérieures à l'arrêt attaqué - sous réserve de celles permettant l'examen de la recevabilité du recours - sont irrecevables (cf. art. 99 al. 1 LTF ). Il en va ainsi en particulier de la production des déterminations de la partie plaignante du 9 février 2024 (cf. acte 12 pièce 2).</w:t>
      </w:r>
    </w:p>
    <w:p>
      <w:r>
        <w:rPr>
          <w:b/>
        </w:rPr>
        <w:t>E. 1.2</w:t>
      </w:r>
    </w:p>
    <w:p>
      <w:r>
        <w:t>Ne mettant pas un terme à la procédure pénale ouverte contre les recourants, l'arrêt attaqué est de nature incidente. Le recours au Tribunal fédéral n'est dès lors en principe recevable qu'en présence d'un risque de préjudice irréparable au sens de l' art. 93 al. 1 let. a LTF . Cela étant, le présent recours est dirigé contre un arrêt d'irrecevabilité, ce qui équivaut à un déni de justice et permet en conséquence l'entrée en matière indépendamment de la condition du risque de préjudice irréparable ( ATF 143 I 344 consid. 1.2; arrêts 7B_51/2024 du 25 avril 2024 consid. 1.1.2; 1B_538/2022 du 12 juin 2023 consid. 1; 1B_233/2022 du 4 octobre 2022 consid. 1.1).</w:t>
      </w:r>
    </w:p>
    <w:p>
      <w:r>
        <w:t>Seule peut cependant être portée devant le Tribunal fédéral la question de la recevabilité du recours cantonal (arrêt 7B_125/2023 du 30 novembre 2023 consid. 1.1), à l'exclusion des conclusions et des arguments portant sur le fond (cf. ch. 4 et 5 des conclusions et notamment ch. 87 ss p. 19 ss du recours).</w:t>
      </w:r>
    </w:p>
    <w:p>
      <w:r>
        <w:rPr>
          <w:b/>
        </w:rPr>
        <w:t>E. 1.3</w:t>
      </w:r>
    </w:p>
    <w:p>
      <w:r>
        <w:t>Les recourants, dont le recours cantonal a été déclaré irrecevable, disposent en principe d'un intérêt juridiquement protégé à obtenir l'annulation ou la modification de l'arrêt attaqué (cf. art. 81 LTF ; arrêts 7B_51/2024 du 25 avril 2024 consid. 1.1.3; 7B_981/2023 du 29 janvier 2024 consid. 1.2 et les arrêts cités).</w:t>
      </w:r>
    </w:p>
    <w:p>
      <w:r>
        <w:t>Cela étant, la question de leur intérêt actuel et pratique à obtenir l'examen de leurs griefs pourrait se poser. En effet, cet intérêt doit exister tant au moment du dépôt du recours, sous peine d'irrecevabilité, qu'au jour où l'autorité statue, sauf à voir le recours déclaré sans objet (sur ces notions, ATF 144 IV 81 consid. 2.3.1; 142 I 135 consid. 1.3.1; 140 IV 74 consid. 1.3.1; arrêt 7B_336/2023 du 3 mai 2024 consid. 1.3 et les arrêts cités). Or, vu notamment les pièces produites à l'appui de leur recours du 26 janvier 2024 (cf. le courrier du Ministère public du 21 décembre 2023 et la réponse des recourants du 19 janvier 2024 [acte 4 pièces 3b et 4]), les recourants, assistés de plusieurs mandataires professionnels, paraissent à même de circonscrire les faits sur lesquels l'instruction continue de porter. Cela vaut d'autant plus qu'ils ne prétendent pas que les éléments relevés dans le courrier du Ministère public seraient différents de ceux ayant fait l'objet de la plainte pénale, respectivement de la notification du 23 novembre 2020, notamment quant à la qualification juridique pouvant entrer en considération. On ne saurait enfin ignorer l'arrêt 7B_366/2023 du 14 février 2024, où il est constaté que les soupçons initiaux pesant sur les recourants n'ont ni disparu ni même diminué, même s'ils ne se sont à ce jour pas renforcés (cf. consid. 3.3.3 dudit arrêt). Au stade de la recevabilité, il ne semble ainsi pas manifeste que les charges notifiées le 23 novembre 2020 se soient modifiées. Au regard de l'issue du présent litige, cette question de recevabilité peut cependant rester indécise.</w:t>
      </w:r>
    </w:p>
    <w:p>
      <w:r>
        <w:rPr>
          <w:b/>
        </w:rPr>
        <w:t>E. 2.1</w:t>
      </w:r>
    </w:p>
    <w:p>
      <w:r>
        <w:t>Se prévalant des art. 6 par. 3 let. a et b CEDH , 32 al. 2 Cst., 9, 158 et 329 CPP, les recourants reprochent à l'autorité précédente d'avoir considéré qu'ils n'avaient aucun intérêt juridiquement protégé à la constatation d'un déni de justice qu'aurait commis le Ministère public, faute de disposer d'un droit d'obtenir la "précision des charges" qui pèsent sur eux.</w:t>
      </w:r>
    </w:p>
    <w:p>
      <w:r>
        <w:rPr>
          <w:b/>
        </w:rPr>
        <w:t>E. 2.2</w:t>
      </w:r>
    </w:p>
    <w:p>
      <w:r>
        <w:t>Selon l' art. 382 al. 1 CPP , toute partie qui a un intérêt juridiquement protégé à l'annulation ou à la modification d'une décision a qualité pour recourir contre celle-ci.</w:t>
      </w:r>
    </w:p>
    <w:p>
      <w:r>
        <w:t>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Le recourant doit ainsi établir que la décision attaquée viole une règle de droit qui a pour but de protéger ses intérêts et qu'il peut en conséquence en déduire un droit subjectif ( ATF 145 IV 161 consid. 3.1 et les arrêts cités). Une partie qui n'est pas concrètement lésée par la décision n'a donc pas la qualité pour recourir et son recours doit être déclaré irrecevable ( ATF 144 IV 81 consid. 2.3.1; arrêt 7B_931/2023 du 24 mai 2024 consid. 2.2.1 et les arrêts cités).</w:t>
      </w:r>
    </w:p>
    <w:p>
      <w:r>
        <w:rPr>
          <w:b/>
        </w:rPr>
        <w:t>E. 2.3</w:t>
      </w:r>
    </w:p>
    <w:p>
      <w:r>
        <w:t>En l'occurrence, les recourants ne remettent pas en cause la notification des charges telle qu'elle a été effectuée le 23 novembre 2020, que ce soit sous l'angle de la qualification juridique envisagée ou des faits sur lesquels portait l'instruction pénale.</w:t>
      </w:r>
    </w:p>
    <w:p>
      <w:r>
        <w:t>Ils ne prétendent pas non plus qu'un acte d'accusation aurait été rendu dans cette procédure. Cette constatation permet de relever que les arguments soulevés en lien avec un tel acte sont donc, à ce stade de l'instruction, dénués de toute pertinence (voir notamment, sur la maxime d'accusation au sens de l' art. 9 CPP , ATF 149 IV 128 consid. 1.2; arrêt 6B_710/2023 du 25 avril 2024 consid. 4.1 et les nombreux arrêts cités y compris de la Cour européenne des droits de l'homme en lien avec l' art. 6 par. 3 let. a CEDH ). Il en va ainsi en particulier des griefs pouvant concerner le contenu de l'acte d'accusation (cf. art. 325 ss CPP ), le temps nécessaire pour préparer sa défense en vue de l'audience de jugement ou le contrôle de l'acte précité par l'autorité de première instance (cf. art. 329 al. 1 let. a CPP ; ATF 147 IV 167 consid. 1.3).</w:t>
      </w:r>
    </w:p>
    <w:p>
      <w:r>
        <w:rPr>
          <w:b/>
        </w:rPr>
        <w:t>E. 2.4</w:t>
      </w:r>
    </w:p>
    <w:p>
      <w:r>
        <w:t>Seule est par conséquent litigieuse la question de savoir si les recourants disposaient, au jour de l'arrêt attaqué, d'un droit d'obtenir au cours de l'instruction préliminaire - à savoir entre la notification intervenue le 23 novembre 2020 et une éventuelle mise en accusation - une nouvelle information détaillée des charges pesant sur eux.</w:t>
      </w:r>
    </w:p>
    <w:p>
      <w:r>
        <w:t>Tel n'est toutefois pas le cas en l'espèce.</w:t>
      </w:r>
    </w:p>
    <w:p>
      <w:r>
        <w:rPr>
          <w:b/>
        </w:rPr>
        <w:t>E. 2.4.1</w:t>
      </w:r>
    </w:p>
    <w:p>
      <w:r>
        <w:t>Selon la jurisprudence, les autorités de poursuite pénale ne sont en effet en principe pas tenues de répéter les informations relatives à l'ouverture d'une procédure préliminaire et aux charges retenues contre le prévenu au sens de l' art. 158 al. 1 let. a CPP avant chaque nouvelle audition (arrêts 6B_1477/2020 du 1er novembre 2021 consid. 1.3.3, publié in SJ 2022 439; 6B_359/2021 du 20 mai 2021 consid.1.5.2; 6B_1214/2019 du 1er mai 2020 consid. 1.3.1; 6B_646/2017 du 1er mai 2018 consid. 5.3; 6B_518/2014 du 4 décembre 2014 consid. 1.5). Il en va</w:t>
      </w:r>
    </w:p>
    <w:p>
      <w:r>
        <w:t>a fortiori de même dans le cas d'espèce où les recourants ne soutiennent pas avoir été convoqués à une nouvelle audition (cf. cependant dans le sens d'une possibilité de demander la répétition des charges au début d'une nouvelle audition lorsqu'il s'est écoulé un long laps de temps depuis la précédente audition, NIKLAUS RUCKSTUHL, in Basler Kommentar, 3e éd. 2023, n° 12a ad art. 158 CPP ; GUNHILD GONDENZI, in DONATSCH/LIEBER/SUMMERS/WOHLERS [édit.], Kommentar zur Schweizerischen Strafprozessordnung [StPO], 3e éd. 2020, vol. I, Art. 1-195, n° 10 ad art. 158 CPP ).</w:t>
      </w:r>
    </w:p>
    <w:p>
      <w:r>
        <w:rPr>
          <w:b/>
        </w:rPr>
        <w:t>E. 2.4.2</w:t>
      </w:r>
    </w:p>
    <w:p>
      <w:r>
        <w:t>Pour appuyer leur prétendu droit à une nouvelle information sur les charges, les recourants invoquent un changement des circonstances depuis la notification intervenue le 23 novembre 2020.</w:t>
      </w:r>
    </w:p>
    <w:p>
      <w:r>
        <w:t>Ils ne prétendent cependant pas qu'une telle modification découlerait de l'aggravation des charges retenues contre eux (dans le sens d'une obligation d'information dans cette configuration, en lien avec l' art. 158 CPP , arrêt 6B_359/2021 du 20 mai 2021 consid. 1.5.2; voir également RUCKSTUHL, op. cit., n° 11 ad art. 158 CPP ; SCHMID/JOSITSCH, Praxiskommentar Schweizerische Strafprozessordnung, 3e éd. 2018, n° 5 ad art 158 CPP ; BURGENER/SADDIER, Auditions du prévenu : notification des charges et des droits, in Revue de l'avocat 2/2022, p. 61 ss, ad ch. 5/A p. 63 s.; GONDENZI, op. cit., n° 10 ad art. 158 CPP ; JEAN-MARC VERNIORY, in Commentaire romand, Code de procédure pénale suisse, 2e éd. 2019, n° 16 ad art. 158 CPP ). En particulier, ils n'étayent pas une telle hypothèse en faisant état d'un nouveau complexe de faits sur lequel porterait l'instruction (VERNIORY, op. cit., n° 16 ad art. 158 CPP ) ou d'une modification - notamment dans le sens d'une péjoration - de la qualification juridique envisagée à ce jour (GONDENZI, op. cit., n° 15 ad art. 158 CPP ; VERNIORY, op. cit., n° 16 ad art. 158 CPP ).</w:t>
      </w:r>
    </w:p>
    <w:p>
      <w:r>
        <w:t>Quant à l'éventuelle diminution des charges dont semblent en substance se prévaloir les recourants (voir notamment ch. 77 p. 17, ch. 24 p. 4 s. et 46 p. 9 des observations du 4 mars 2024), une telle issue n'est pas d'emblée manifeste en l'espèce (cf. également consid. 1.3 ci-dessus). Les recourants ne développent d'ailleurs aucune argumentation claire et précise visant à démontrer quels faits ne feraient plus l'objet de l'instruction, respectivement quelle qualification juridique aurait été abandonnée ou modifiée en leur faveur. En tout état de cause, on ne voit pas quelle serait l'atteinte aux droits de la défense que subiraient les recourants dans une telle configuration et qu'un éventuel classement ultérieur (par exemple en raison de la prescription de l'action pénale pour certaines charges) ne serait pas à même de réparer. Une demande de nouvelle notification des charges dans une telle hypothèse semble au demeurant tendre à obtenir - de manière détournée et n'appelant ainsi aucune protection - le classement de la procédure, ce qui ne saurait intervenir préalablement pour le moins à une communication au sens de l' art. 318 CPP .</w:t>
      </w:r>
    </w:p>
    <w:p>
      <w:r>
        <w:rPr>
          <w:b/>
        </w:rPr>
        <w:t>E. 2.4.3</w:t>
      </w:r>
    </w:p>
    <w:p>
      <w:r>
        <w:t>Sur le vu de ce qui précède, la Chambre pénale de recours n'a pas violé le droit fédéral en considérant qu'au jour où elle statuait, les recourants n'avaient aucun intérêt juridiquement protégé à obtenir une nouvelle notification des charges, faute de disposer d'un tel droit dans les circonstances de l'espèce.</w:t>
      </w:r>
    </w:p>
    <w:p>
      <w:r>
        <w:rPr>
          <w:b/>
        </w:rPr>
        <w:t>E. 3</w:t>
      </w:r>
    </w:p>
    <w:p>
      <w:r>
        <w:t>Il s'ensuit que le recours doit être rejeté dans la mesure où il est recevable.</w:t>
      </w:r>
    </w:p>
    <w:p>
      <w:r>
        <w:t>Les recourants, qui succombent, supporteront, solidairement entre eux, les frais judiciaires (cf. art. 66 al. 1 et 5 LTF ), lesquels tiendront compte de la longueur du mémoire de recours.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