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7B_907/2024 vom 23. September 2024</w:t>
      </w:r>
    </w:p>
    <w:p>
      <w:r>
        <w:t>Bundesgericht, 2024-09-23, FR</w:t>
      </w:r>
    </w:p>
    <w:p>
      <w:r>
        <w:rPr>
          <w:b/>
        </w:rPr>
        <w:t xml:space="preserve">Quelle: </w:t>
      </w:r>
      <w:r>
        <w:t>https://mcp.opencaselaw.ch/entscheid/bger_7B_907_2024</w:t>
      </w:r>
    </w:p>
    <w:p>
      <w:r>
        <w:t>FR: TF 7B_907/2024 du 23 septembre 2024</w:t>
      </w:r>
    </w:p>
    <w:p>
      <w:r>
        <w:t>IT: TF 7B_907/2024 del 23 settembre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est recevable.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3.1</w:t>
      </w:r>
    </w:p>
    <w:p>
      <w:r>
        <w:t>Bien qu'il nie les faits reprochés, le recourant ne discute pas l'existence de charges suffisantes au sens de l' art. 221 al. 1 CPP (sur cette notion, voir ATF 143 IV 330 consid. 2.1). Il conteste en revanche l'existence d'un risque de fuite. Il se plaint à cet égard d'une violation du droit fédéral ( art. 221 al. 1 let. a CPP ), d'une constatation arbitraire des faits et d'une violation de son droit d'être entendu.</w:t>
      </w:r>
    </w:p>
    <w:p>
      <w:r>
        <w:rPr>
          <w:b/>
        </w:rPr>
        <w:t>E. 3.1.1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w:t>
      </w:r>
    </w:p>
    <w:p>
      <w:r>
        <w:rPr>
          <w:b/>
        </w:rPr>
        <w:t>E. 3.1.2</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 et a fortiori lorsque celle-ci a été confirmée en seconde instance -,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w:t>
      </w:r>
    </w:p>
    <w:p>
      <w:r>
        <w:rPr>
          <w:b/>
        </w:rPr>
        <w:t>E. 3.1.3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 arrêt 6B_1204/2022 précité consid. 3.1).</w:t>
      </w:r>
    </w:p>
    <w:p>
      <w:r>
        <w:rPr>
          <w:b/>
        </w:rPr>
        <w:t>E. 3.2</w:t>
      </w:r>
    </w:p>
    <w:p>
      <w:r>
        <w:t>La cour cantonale a tout d'abord rappelé les motifs qui l'avaient conduite à retenir, dans son ordonnance du 28 décembre 2022, l'existence d'un risque de fuite. Elle avait constaté que le recourant n'avait aucune attache solide avec la Suisse, dans la mesure où il n'y avait résidé que peu de temps et ne s'était pas intégré professionnellement. Il avait cessé d'y percevoir des prestations de l'assurance-chômage à compter du 23 février 2021, émargeant dorénavant à l'aide sociale. Il n'avait aucune fortune en Suisse, mais des dettes pour un montant de l'ordre de 3'000 francs. Son autorisation de séjour (B UE/AELE) avait par ailleurs été révoquée le 1er septembre 2021. Il ne semblait de surcroît avoir ni proches ni réels amis en Suisse. À l'inverse, en Belgique, pays dont il était ressortissant et où il avait passé la plus grande partie de sa vie, résidaient des membres de sa famille, dont son frère. Le recourant semblait également y avoir des amis. Il apparaissait en outre qu'il ne rencontrerait pas de difficultés insurmontables à y trouver un emploi, dès lors qu'il avait rapidement été engagé comme concierge lorsqu'il était retourné quelques mois dans ce pays en 2018. Au vu de ces éléments, la cour cantonale avait considéré qu'il était à craindre que le recourant choisisse, en cas de mise en liberté, de se réfugier auprès de sa famille à l'étranger afin d'échapper à sa sanction, voire d'entrer dans la clandestinité en Suisse. En effet, la probabilité de devoir purger une peine de prison d'une durée non négligeable - le solde étant de 38 mois - était désormais concrète.</w:t>
      </w:r>
    </w:p>
    <w:p>
      <w:r>
        <w:t>La juridiction précédente a ensuite constaté que dans sa demande de libération du 24 juin 2024, le recourant n'apportait aucun élément probant permettant d'infirmer les éléments retenus dans l'ordonnance du 28 décembre 2022. L'absence d'attache solide avec la Suisse, le manque d'insertion professionnelle et d'amis ou de proches étaient toujours d'actualité. Il en allait de même des possibilité de se réinsérer en Belgique. Par ailleurs, après le rejet de son appel par jugement du 14 septembre 2023, l'intéressé avait expressément indiqué, en lien avec son expulsion du territoire suisse, "avoir fait un choix", à savoir celui de ne plus vivre dans notre pays qu'il avait qualifié de "société moyenâgeuse et archaïque"; lesdites déclarations jetaient le doute sur la sincérité du prévenu quand il indiquait dans sa demande de libération vouloir poursuivre sa vie en Suisse.</w:t>
      </w:r>
    </w:p>
    <w:p>
      <w:r>
        <w:t>La cour cantonale a en outre rejeté l'argument du recourant selon lequel le risque de fuite aurait diminué en raison de l'exécution des deux tiers de sa peine et de la perspective d'une libération conditionnelle. Elle a exposé que l'octroi de celle-ci n'était en l'espèce pas d'emblée évident compte tenu du comportement du recourant en détention et du risque de récidive.</w:t>
      </w:r>
    </w:p>
    <w:p>
      <w:r>
        <w:t>Au surplus, la juridiction précédente a considéré que, pour les mêmes raisons que celles exposées dans sa décision du 28 décembre 2022, aucune mesure de substitution n'était susceptible de pallier le risque de récidive, toujours actuel, de l'intéressé.</w:t>
      </w:r>
    </w:p>
    <w:p>
      <w:r>
        <w:rPr>
          <w:b/>
        </w:rPr>
        <w:t>E. 4.1</w:t>
      </w:r>
    </w:p>
    <w:p>
      <w:r>
        <w:t>Le recourant reproche à la cour cantonale d'avoir violé son droit d'être entendu sous l'angle d'un défaut de motivation. Selon lui, la motivation consistant à renvoyer à l'ordonnance du 28 décembre 2022 pour retenir l'absence de mesures de substitution susceptibles de pallier le risque de fuite et au jugement du 14 septembre 2023 pour admettre un risque de récidive serait insuffisante.</w:t>
      </w:r>
    </w:p>
    <w:p>
      <w:r>
        <w:t>Son grief tombe à faux. Il ressort clairement de l'ordonnance attaquée que la cour cantonale a considéré que les motifs qui l'avaient conduite à retenir l'absence de mesures de substitution susceptibles de pallier le risque de fuite dans sa décision du 28 décembre 2022 étaient toujours valables. Le recourant disposait ainsi des informations nécessaires pour comprendre les raisons du rejet de son grief à cet égard et pour contester, le cas échéant, l'appréciation de la cour cantonale. Par ailleurs, cette dernière a considéré que le risque de récidive était toujours actuel en se fondant sur son jugement du 14 septembre 2023. En critiquant le bien-fondé de la motivation cantonale sur ce point, le recourant démontre d'ailleurs l'avoir comprise, ce qui exclut toute violation de son droit d'être entendu.</w:t>
      </w:r>
    </w:p>
    <w:p>
      <w:r>
        <w:rPr>
          <w:b/>
        </w:rPr>
        <w:t>E. 4.2</w:t>
      </w:r>
    </w:p>
    <w:p>
      <w:r>
        <w:t>Sur le fond, le recourant se plaint d'une violation du droit fédéral ( art. 221 al. 1 let. a CPP ) et d'une constatation arbitraire des faits.</w:t>
      </w:r>
    </w:p>
    <w:p>
      <w:r>
        <w:t>En l'espèce, contrairement à ce que le recourant soutient, la juridiction précédente a considéré que le risque de fuite était probable en se fondant sur un ensemble de critères objectifs; son raisonnement à cet égard doit être confirmé. En effet, le recourant, de nationalité étrangère, ne conteste pas vivre en Suisse dans une situation précaire et n'y avoir aucune attache particulière. Il n'expose en particulier pas quelles perspectives d'avenir l'y retiendraient. Il ressort au demeurant de l'ordonnance attaquée qu'après le jugement du 14 septembre 2023, le recourant a expressément indiqué ne plus vouloir vivre en Suisse. En tant qu'il livre une appréciation personnelle de l'interprétation à donner à ses propos "émis sous le coup d'une forte émotion", le recourant procède de manière purement appellatoire, partant irrecevable.</w:t>
      </w:r>
    </w:p>
    <w:p>
      <w:r>
        <w:t>À ces éléments s'ajoute la condamnation du recourant à une peine privative de liberté de 5 ans et à une expulsion du territoire suisse pour une durée de 10 ans, confirmée par jugement de la Cour pénale le 14 septembre 2023. Certes, le jugement sur appel n'est pas définitif vu le recours déposé au Tribunal fédéral. Il constitue toutefois un indice supplémentaire de la peine susceptible de devoir être exécutée (cf. ATF 143 IV 168 consid. 5.1). Le recourant s'expose ainsi à devoir purger un solde de peine de près de 20 mois, sous réserve d'une libération conditionnelle aux conditions de l' art. 86 CP , dont l'octroi n'est toutefois, en l'état, pas d'emblée évident (cf. consid. 5.3</w:t>
      </w:r>
    </w:p>
    <w:p>
      <w:r>
        <w:t>infra ). Aussi, face à la durée non négligeable de la peine qu'il lui resterait à exécuter, le recourant pourrait être tenté de se rendre dans son pays d'origine, où il existe une possibilité de réinsertion et où il possède des attaches plus importantes qu'en Suisse; quoi qu'il en dise, le fait d'avoir été hébergé par un ami lorsqu'il est retourné vivre en Belgique en 2018 démontre bel et bien l'existence de tels liens. Le fait d'avoir, à la même période, trouvé un emploi sans grandes difficultés permet également de considérer qu'une réinsertion professionnelle dans ce pays ne lui serait pas insurmontable. Le simple fait d'alléguer qu'il n'aurait aucun intérêt à quitter la Suisse dès lors qu'il aurait toujours clamé son innocence et souhaiterait rester dans notre pays pour faire valoir ses droits n'est pas suffisant pour écarter le risque concret de fuite. Au contraire, en niant toute responsabilité pénale dans les faits qui lui sont reprochés, le recourant démontre que, le cas échéant, sa condamnation sera difficile à accepter et qu'il pourrait être réticent à exécuter le solde de la peine. Pour le reste, en tant que le recourant soutient que "sa santé tant physique que mentale aurait été largement impactée par la détention, de sorte que la fuite exigerait de lui un effort insurmontable", il invoque des faits qui ne ressortent pas de l'ordonnance attaquée, sans démontrer l'arbitraire de leur omission.</w:t>
      </w:r>
    </w:p>
    <w:p>
      <w:r>
        <w:t>Il s'ensuit que la cour cantonale n'a pas violé le droit fédéral ni l'interdiction de l'arbitraire en considérant qu'il existait un risque de fuite.</w:t>
      </w:r>
    </w:p>
    <w:p>
      <w:r>
        <w:rPr>
          <w:b/>
        </w:rPr>
        <w:t>E. 5.1</w:t>
      </w:r>
    </w:p>
    <w:p>
      <w:r>
        <w:t>Le recourant soutient qu'en rejetant sa demande de mise en liberté alors qu'il avait déjà effectué les deux tiers de sa peine, la cour cantonale aurait violé le principe de la proportionnalité dès lors qu'elle n'aurait pas tenu compte de la possibilité d'une libération conditionnelle au sens de l' art. 86 al. 1 CP .</w:t>
      </w:r>
    </w:p>
    <w:p>
      <w:r>
        <w:rPr>
          <w:b/>
        </w:rPr>
        <w:t>E. 5.2.1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rPr>
          <w:b/>
        </w:rPr>
        <w:t>E. 5.2.2</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7B_411/2023 du 6 septembre 2023 consid. 3.2 et l'arrêt cité).</w:t>
      </w:r>
    </w:p>
    <w:p>
      <w:r>
        <w:rPr>
          <w:b/>
        </w:rPr>
        <w:t>E. 5.2.3</w:t>
      </w:r>
    </w:p>
    <w:p>
      <w:r>
        <w:t>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 art. 86 al. 1 CP ( ATF 145 IV 179 consid. 3.4; 143 IV 168 consid. 5.1). Il convient toutefois de tenir compte de manière exceptionnelle de la possibilité d'une libération conditionnelle lorsque son octroi apparaît d'emblée évident, étant rappelé que l'octroi de la libération conditionnelle aux deux tiers de la peine dépend du comportement du détenu durant l'exécution de la peine et du pronostic quant à son comportement futur en cas de libération ( art. 86 al. 1 CP ) ( ATF 143 IV 160 consid. 4.2; arrêt 7B_475/2023 du 6 septembre 2023 consid. 5.2).</w:t>
      </w:r>
    </w:p>
    <w:p>
      <w:r>
        <w:rPr>
          <w:b/>
        </w:rPr>
        <w:t>E. 5.3</w:t>
      </w:r>
    </w:p>
    <w:p>
      <w:r>
        <w:t>En l'espèce, après avoir constaté que le recourant avait exécuté les deux tiers de sa peine, la cour cantonale a sommairement examiné la question de l'éventualité d'une libération conditionnelle. Ce faisant, elle a retenu que l'octroi de celle-ci n'était pas d'emblée évident compte tenu du comportement du recourant en détention et du risque de récidive considéré comme "faible à modéré pour les actes d'ordre sexuel et modéré à élevé concernant les actes de violence" dans le jugement sur appel du 14 septembre 2023.</w:t>
      </w:r>
    </w:p>
    <w:p>
      <w:r>
        <w:t>Le recourant ne remet pas valablement en cause cette appréciation. Il se contente de soutenir, de manière purement appellatoire, que les agissements qui lui ont été reprochés en détention (notamment les coups donnés contre une porte alors qu'un agent de détention se trouvait à proximité, les menaces envers le service de médecine pénitentiaire, les insultes et les menaces envers le personnel de surveillance, lui ayant valu une sanction disciplinaire de 2 jours d'arrêts) seraient de peu de gravité et auraient été provoqués par l'ambiance carcérale. Ce faisant, il ne démontre pas que la juridiction précédente aurait versé dans l'arbitraire en considérant - sur la base de cinq rapports et d'une sanction disciplinaire - que le recourant ne pouvait pas se prévaloir d'un bon comportement en détention. La cour cantonale n'a en outre pas violé le droit fédéral en tenant compte dudit comportement en sa défaveur, dans son examen du pronostic, conformément à la jurisprudence en la matière (cf. consid. 5.2.3</w:t>
      </w:r>
    </w:p>
    <w:p>
      <w:r>
        <w:t>supra ).</w:t>
      </w:r>
    </w:p>
    <w:p>
      <w:r>
        <w:t>Le recourant reproche par ailleurs à la cour cantonale d'avoir retenu "un risque de récidive faible à modéré pour les actes d'ordre sexuel et modéré à élevé concernant les actes de violences" alors que les experts ayant émis ce pronostic, dans le cadre du jugement du 14 septembre 2023, avaient expressément subordonné l'existence de ces risques à sa culpabilité, laquelle n'était toutefois pas encore acquise. Ce raisonnement ne saurait être suivi. En effet, empêcher le juge de la détention de tenir compte du pronostic de récidive émis en cours de procédure par des experts - quand bien même le jugement au fond n'est pas définitif - viderait de son sens la possibilité qui lui est conférée par la jurisprudence d'examiner si les conditions d'une libération conditionnelle apparaissent d'emblée réalisées (cf. ATF 143 IV 160 consid. 4.2). La juridiction précédente était ainsi fondée à se baser, dans son examen des conditions de l' art. 86 al. 1 CP , sur le risque de récidive ressortant de l'expertise judiciaire établie dans le cadre du jugement d'appel. L'appréciation qu'elle en tire ne prête au demeurant pas le flanc à la critique compte tenu des biens juridiques menacés. En effet, il ressort de ladite expertise un risque de récidive faible à modéré pour les actes d'ordre sexuel et modéré à élevé pour les actes de violence reprochés. Or les exigences quant à la probabilité de réalisation du risque de récidive peuvent être moindres si l'auteur s'en est pris à l'intégrité physique ou sexuelle de ses victimes (cf. ATF 133 IV 201 consid. 3.2).</w:t>
      </w:r>
    </w:p>
    <w:p>
      <w:r>
        <w:t>Compte tenu de ce qui précède, la juridiction précédente était fondée à considérer que l'octroi de la libération conditionnelle n'était pas d'emblée évident; le principe de la proportionnalité demeure ainsi respecté d'un point de vue temporel.</w:t>
      </w:r>
    </w:p>
    <w:p>
      <w:r>
        <w:rPr>
          <w:b/>
        </w:rPr>
        <w:t>E. 5.4</w:t>
      </w:r>
    </w:p>
    <w:p>
      <w:r>
        <w:t>Le recourant invoque une violation du principe de l'égalité de traitement ( art. 8 Cst. ), au motif que le condamné ayant atteint les deux tiers de sa peine aurait droit à un examen plus approfondi des possibilités d'octroi de la libération conditionnelle que le prévenu détenu pour des motifs de sûreté ayant atteint les deux tiers de la peine encourue. Compte tenu de la jurisprudence précitée (cf. consid. 5.2.3</w:t>
      </w:r>
    </w:p>
    <w:p>
      <w:r>
        <w:t>supra ; ATF 145 IV 179 consid. 3.4), le grief du recourant doit être écarté. En effet, le juge de la détention ne saurait s'approprier le pouvoir conféré à l'autorité compétente visée par l' art. 86 CP en procédant à un examen approfondi des critères permettant l'octroi de la libération conditionnelle (cf. ATF 143 IV 330 consid. 2.1 sur l'examen par le juge de la détention des soupçons suffisants). Dans ces circonstances, la juridiction cantonale n'a pas violé le principe de l'égalité de traitement en procédant à un examen sommaire des possibilités de libération conditionnelle.</w:t>
      </w:r>
    </w:p>
    <w:p>
      <w:r>
        <w:rPr>
          <w:b/>
        </w:rPr>
        <w:t>E. 6.1</w:t>
      </w:r>
    </w:p>
    <w:p>
      <w:r>
        <w:t>Le principe de la proportionnalité ancré à l' art. 36 al. 3 Cst. commande par ailleurs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6.2</w:t>
      </w:r>
    </w:p>
    <w:p>
      <w:r>
        <w:t>En l'espèce, le recourant ne remet pas en cause d'une manière répondant aux exigences déduites de l' art. 42 al. 2 LTF l'appréciation de la cour cantonale quant à l'absence de mesures de substitution susceptibles de pallier le risque de fuite. L'appréciation de la juridiction précédente à cet égard ne prête au demeurant pas le flanc à la critique et doit être confirmée.</w:t>
      </w:r>
    </w:p>
    <w:p>
      <w:r>
        <w:rPr>
          <w:b/>
        </w:rPr>
        <w:t>E. 7</w:t>
      </w:r>
    </w:p>
    <w:p>
      <w:r>
        <w:t>Il résulte de ce qui précède que l'autorité précédente pouvait, sans violer le droit fédéral, rejeter la demande de mise en liberté du recourant, dont le recours doit par conséquent être rejeté.</w:t>
      </w:r>
    </w:p>
    <w:p>
      <w:r>
        <w:t>Le recourant a demandé l'octroi de l'assistance judiciaire (cf. art. 64 al. 1 LTF ). Son recours était cependant d'emblée dénué de chances de succès, de sorte que sa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