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906/2023 vom 1. Februar 2024</w:t>
      </w:r>
    </w:p>
    <w:p>
      <w:r>
        <w:t>Bundesgericht, 2024-02-01, FR</w:t>
      </w:r>
    </w:p>
    <w:p>
      <w:r>
        <w:rPr>
          <w:b/>
        </w:rPr>
        <w:t xml:space="preserve">Quelle: </w:t>
      </w:r>
      <w:r>
        <w:t>https://mcp.opencaselaw.ch/entscheid/bger_7B_906_2023</w:t>
      </w:r>
    </w:p>
    <w:p>
      <w:r>
        <w:t>FR: TF 7B 906/2023 du 1 février 2024</w:t>
      </w:r>
    </w:p>
    <w:p>
      <w:r>
        <w:t>IT: TF 7B 906/2023 del 1 febbraio 2024</w:t>
      </w:r>
    </w:p>
    <w:p>
      <w:pPr>
        <w:pStyle w:val="Heading2"/>
      </w:pPr>
      <w:r>
        <w:t>Regeste</w:t>
      </w:r>
    </w:p>
    <w:p>
      <w:r>
        <w:t>Ordonnance de non-entrée en matière; irrecevabilité du recours en matière pénale, | Procédure pénale</w:t>
      </w:r>
    </w:p>
    <w:p>
      <w:pPr>
        <w:pStyle w:val="Heading2"/>
      </w:pPr>
      <w:r>
        <w:t>Erwägungen</w:t>
      </w:r>
    </w:p>
    <w:p>
      <w:r>
        <w:rPr>
          <w:b/>
        </w:rPr>
        <w:t>E. 1.1</w:t>
      </w:r>
    </w:p>
    <w:p>
      <w:r>
        <w:t>L'arrêt attaqué, qui constitue une décision de renvoi de l'autorité de recours au Ministère public portant sur l'annulation d'une ordonnance de non-entrée en matière, revêt un caractère incident (cf. arrêt 7B_49/2022 du 23 octobre 2023 consid. 1.4.2). Le recours n'est donc recevable qu'aux conditions restrictives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à la partie recourante ( ATF 144 IV 127 consid. 1.3.1). En vertu de l' art. 42 al. 1 LTF , il incombe à la partie recourante d'alléguer les faits permettant de démontrer l'existence d'un risque de préjudice irréparable lorsque celui-ci n'est pas d'emblée évident ( ATF 148 IV 155 consid. 1.1 in fine ).</w:t>
      </w:r>
    </w:p>
    <w:p>
      <w:r>
        <w:rPr>
          <w:b/>
        </w:rPr>
        <w:t>E. 1.2</w:t>
      </w:r>
    </w:p>
    <w:p>
      <w:r>
        <w:t>En l'espèce, le recourant ne dit mot, dans son recours, sur cette question. L'existence d'un risque de préjudice irréparable n'est au surplus pas manifeste. En effet, on ne voit pas en quoi l'arrêt attaqué pourrait causer au recourant un préjudice qu'aucune décision ultérieure - telle qu'une ordonnance de classement ou un jugement au fond prononçant son acquittement - ne serait à même de réparer. Partant, faute de risque de préjudice irréparable, le recours est irrecevable.</w:t>
      </w:r>
    </w:p>
    <w:p>
      <w:r>
        <w:rPr>
          <w:b/>
        </w:rPr>
        <w:t>E. 2</w:t>
      </w:r>
    </w:p>
    <w:p>
      <w:r>
        <w:t>L'irrecevabilité manifeste du recours doit dès lors être constatée dans la procédure prévue par l' art. 108 al. 1 let. a CPP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