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902/2023 vom 10. Januar 2024</w:t>
      </w:r>
    </w:p>
    <w:p>
      <w:r>
        <w:t>Bundesgericht, 2024-01-10, FR</w:t>
      </w:r>
    </w:p>
    <w:p>
      <w:r>
        <w:rPr>
          <w:b/>
        </w:rPr>
        <w:t xml:space="preserve">Quelle: </w:t>
      </w:r>
      <w:r>
        <w:t>https://mcp.opencaselaw.ch/entscheid/bger_7B_902_2023</w:t>
      </w:r>
    </w:p>
    <w:p>
      <w:r>
        <w:t>FR: TF 7B 902/2023 du 10 janvier 2024</w:t>
      </w:r>
    </w:p>
    <w:p>
      <w:r>
        <w:t>IT: TF 7B 902/2023 del 10 gennaio 2024</w:t>
      </w:r>
    </w:p>
    <w:p>
      <w:pPr>
        <w:pStyle w:val="Heading2"/>
      </w:pPr>
      <w:r>
        <w:t>Regeste</w:t>
      </w:r>
    </w:p>
    <w:p>
      <w:r>
        <w:t>Exécution de la mesure; irrecevabilité du recours en matière pénale (motivation insuffisante) | Exécution des peines et des mesures</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 Les constatations de fait de la décision entreprise lient le Tribunal fédéral ( art. 105 al. 1 LTF ), sous les réserves découlant des art. 97 al. 1 et 105 al. 2 LTF, à savoir pour l'essentiel de l'arbitraire ( art. 9 Cst. ; voir sur cette notion: ATF 140 III 16 consid. 2.1 et 138 III 378 consid. 6.1). La recevabilité d'un tel grief, ainsi que de ceux déduits du droit constitutionnel et conventionnel, suppose l'articulation de critiques circonstanciées ( ATF 136 II 101 consid. 3), claires et précises, répondant aux exigences de motivation accrues déduites de l' art. 106 al. 2 LTF ( ATF 133 IV 286 consid. 1.4). Les critiques appellatoires sont irrecevables (cf. ATF 139 II 404 consid. 10.1 et 137 II 353 consid. 5.1).</w:t>
      </w:r>
    </w:p>
    <w:p>
      <w:r>
        <w:rPr>
          <w:b/>
        </w:rPr>
        <w:t>E. 1.2</w:t>
      </w:r>
    </w:p>
    <w:p>
      <w:r>
        <w:t>En l'espèce, la cour cantonale a relevé que le recourant avait été condamné à une peine privative de liberté de substitution de 12 jours, soit à une peine inférieure au seuil prévu à l' art. 79b al. 1 let. a CP pour pouvoir être exécutée sous la forme d'une surveillance électronique. Elle a du reste constaté qu'au vu des attestations médicales produites par le recourant, il n'apparaissait pas que son état de santé l'empêchât d'exécuter sa courte peine privative de liberté et que, le cas échéant, il lui appartiendrait de demander à l'autorité compétente que soit examinée la possibilité de purger sa peine sous une autre forme alternative (cf. art. 80 al. 1 let. a CP ).</w:t>
      </w:r>
    </w:p>
    <w:p>
      <w:r>
        <w:rPr>
          <w:b/>
        </w:rPr>
        <w:t>E. 1.3</w:t>
      </w:r>
    </w:p>
    <w:p>
      <w:r>
        <w:t>Face à la motivation cantonale, le recourant maintient qu'il remplirait les conditions légales l'autorisant à exécuter sa peine sous la forme de la surveillance électronique et que, par ailleurs, son état de santé ne lui permettrait pas de l'exécuter en détention. Aussi, il se limite pour l'essentiel à opposer sa propre appréciation de moyens de preuve (soit en particulier des attestations médicales produites) à celle de la cour cantonale, dans une démarche appellatoire et partant irrecevable (cf. art. 106 al. 2 LTF ). Il échoue en tout état à mettre en évidence, par une motivation conforme aux exigences en la matière, en quoi la cour cantonale aurait violé le droit fédéral en confirmant la décision du SAPEM du 17 mai 2023 refusant d'autoriser l'exécution de la peine privative de liberté de 12 jours sous la forme d'une surveillance électronique.</w:t>
      </w:r>
    </w:p>
    <w:p>
      <w:r>
        <w:rPr>
          <w:b/>
        </w:rPr>
        <w:t>E. 1.4</w:t>
      </w:r>
    </w:p>
    <w:p>
      <w:r>
        <w:t>Le recours ne répondant ainsi manifestement pas aux exigences de motivation d'un recours en matière pénale au Tribunal fédéral, il doit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