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898/2023 vom 29. Januar 2024</w:t>
      </w:r>
    </w:p>
    <w:p>
      <w:r>
        <w:t>Bundesgericht, 2024-01-29, DE</w:t>
      </w:r>
    </w:p>
    <w:p>
      <w:r>
        <w:rPr>
          <w:b/>
        </w:rPr>
        <w:t xml:space="preserve">Quelle: </w:t>
      </w:r>
      <w:r>
        <w:t>https://mcp.opencaselaw.ch/entscheid/bger_7B_898_2023</w:t>
      </w:r>
    </w:p>
    <w:p>
      <w:r>
        <w:t>FR: TF 7B 898/2023 du 29 janvier 2024</w:t>
      </w:r>
    </w:p>
    <w:p>
      <w:r>
        <w:t>IT: TF 7B 898/2023 del 29 gennaio 2024</w:t>
      </w:r>
    </w:p>
    <w:p>
      <w:pPr>
        <w:pStyle w:val="Heading2"/>
      </w:pPr>
      <w:r>
        <w:t>Regeste</w:t>
      </w:r>
    </w:p>
    <w:p>
      <w:r>
        <w:t>Nichtanhandnahme (Amtsmissbrauch etc.); Nichteintreten | Strafprozess</w:t>
      </w:r>
    </w:p>
    <w:p>
      <w:pPr>
        <w:pStyle w:val="Heading2"/>
      </w:pPr>
      <w:r>
        <w:t>Erwägungen</w:t>
      </w:r>
    </w:p>
    <w:p>
      <w:r>
        <w:rPr>
          <w:b/>
        </w:rPr>
        <w:t>E. 1</w:t>
      </w:r>
    </w:p>
    <w:p>
      <w:r>
        <w:t>Mit Verfügung vom 4. Oktober 2023 nahm die Staatsanwaltschaft Zürich-Sihl eine Strafuntersuchung gegen B.________, Staatsanwalt bei der Staatsanwaltschaft II des Kantons Zürich, betreffend Amtsmissbrauch etc. nicht an die Hand. Dagegen erhob A.________ (nachfolgend: Beschwerdeführer) mit Eingabe vom 10. Oktober 2023 Beschwerde. In der Folge forderte der Präsident der III. Strafkammer des Obergerichts des Kantons Zürich den Beschwerdeführer mit Verfügung vom 16. Oktober 2023 auf, gemäss Art. 383 Abs. 1 StPO eine Sicherheitsleistung von Fr. 1'800.-- zu leisten, andernfalls gestützt auf Art. 383 Abs. 2 StPO auf die Beschwerde nicht eingetreten werde.</w:t>
      </w:r>
    </w:p>
    <w:p>
      <w:r>
        <w:rPr>
          <w:b/>
        </w:rPr>
        <w:t>E. 2</w:t>
      </w:r>
    </w:p>
    <w:p>
      <w:r>
        <w:t>Mit Eingabe vom 13. November 2023 führt der Beschwerdeführer Beschwerde in Strafsachen an das Bundesgericht. Er beantragt sinngemäss die Aufhebung der angefochtenen Verfügung vom 16. Oktober 2023.</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 Der Beschwerdeführer behauptet in seiner weitschweifigen Beschwerde, er werde durch die eingeforderte Prozesskaution "erpresst". Im Übrigen beschränkt er sich im Wesentlichen darauf, angebliche Rechtsverletzungen im Zusammenhang mit den von ihm erhobenen Vorwürfen darzutun. Damit vermag er jedenfalls nicht rechtsgenüglich aufzuzeigen, inwiefern die angefochtene Verfügung rechtswidrig sein sollte. Dies ist auch nicht ersichtlich. Die - überdies unsachlich und ungebührlich gehaltene - Beschwerde genügt den gesetzlichen Formerfordernissen offensichtlich nicht.</w:t>
      </w:r>
    </w:p>
    <w:p>
      <w:r>
        <w:rPr>
          <w:b/>
        </w:rPr>
        <w:t>E. 4</w:t>
      </w:r>
    </w:p>
    <w:p>
      <w:r>
        <w:t>Auf die Beschwerde ist im Verfahren nach Art. 108 BGG nicht einzutreten. Dem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