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894/2023 vom 3. Januar 2024</w:t>
      </w:r>
    </w:p>
    <w:p>
      <w:r>
        <w:t>Bundesgericht, 2024-01-03, DE</w:t>
      </w:r>
    </w:p>
    <w:p>
      <w:r>
        <w:rPr>
          <w:b/>
        </w:rPr>
        <w:t xml:space="preserve">Quelle: </w:t>
      </w:r>
      <w:r>
        <w:t>https://mcp.opencaselaw.ch/entscheid/bger_7B_894_2023</w:t>
      </w:r>
    </w:p>
    <w:p>
      <w:r>
        <w:t>FR: TF 7B 894/2023 du 3 janvier 2024</w:t>
      </w:r>
    </w:p>
    <w:p>
      <w:r>
        <w:t>IT: TF 7B 894/2023 del 3 gennaio 2024</w:t>
      </w:r>
    </w:p>
    <w:p>
      <w:pPr>
        <w:pStyle w:val="Heading2"/>
      </w:pPr>
      <w:r>
        <w:t>Regeste</w:t>
      </w:r>
    </w:p>
    <w:p>
      <w:r>
        <w:t>Nichtanhandnahme; Nichteintreten | Strafprozess</w:t>
      </w:r>
    </w:p>
    <w:p>
      <w:pPr>
        <w:pStyle w:val="Heading2"/>
      </w:pPr>
      <w:r>
        <w:t>Erwägungen</w:t>
      </w:r>
    </w:p>
    <w:p>
      <w:r>
        <w:rPr>
          <w:b/>
        </w:rPr>
        <w:t>E. 1</w:t>
      </w:r>
    </w:p>
    <w:p>
      <w:r>
        <w:t>Der Beschwerdeführer erstattete am 12. Januar 2023 Strafanzeige wegen Diebstahls gegen die beiden Polizisten B.________ und C.________. Diese sollen ihm am 13. Mai 2022 die Schlüssel und Fahrzeugpapiere seiner "Mercedes Vito W639" mit dem Kennzeichen D.________ weggenommen und an E.________ übergeben haben. Das Fahrzeug habe der F.________ GmbH gehört und der Beschwerdeführer sei als Lenker im Fahrzeugausweis eingetragen gewesen. Die Staatsanwaltschaft Zürich-Sihl nahm eine Strafuntersuchung am 19. Januar 2023 nicht an die Hand. Eine dagegen erhobenen Beschwerde wies das Obergericht des Kantons Zürich mit Beschluss vom 16. Oktober 2023 ab. Der Beschwerdeführer wendet sich mit Beschwerde in Strafsachen vom 9. November 2023 (eingegangen am 15. November 2023) ans Bundesgericht und beantragt "weiterhin eine Entschädigung", die er zu einem späteren Zeitpunkt beziffern werde. Zudem ersucht er um unentgeltliche Rechtspflege.</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 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3</w:t>
      </w:r>
    </w:p>
    <w:p>
      <w:r>
        <w:t>Im Wesentlichen liegt der Anzeige des Beschwerdeführers folgender Sachverhalt zugrunde: Der Beschwerdeführer habe seiner Ex-Partnerin am 13. Mai 2022 das oben erwähnte Fahrzeug vereinbarungsgemäss zurückgeben sollen, welches er bis dahin habe nutzen dürfen. Der Vater der Ex-Partnerin habe ihn aufgefordert, das Fahrzeug zu räumen sowie Schlüssel und Papiere zu übergeben, woraufhin es zu einem Streit gekommen sei, der einen Einsatz der Stadtpolizei Zürich erfordert habe. Im Zuge dieses Einsatzes habe sich der Beschwerdeführer nach längerem Gespräch einverstanden erklärt, das Fahrzeug auszuräumen und der Polizei die Schlüssel zum Fahrzeug zu übergeben. Die angezeigten Polizisten hätten dadurch in der Darstellung des Beschwerdeführers einen Diebstahl begangen. Bei einem allfälligen Anspruch gegenüber diesen Polizisten der Stadtpolizei Zürich handelte es sich um einen öffentlich-rechtlichen Anspruch. 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Die vom Beschwerdeführer gegen Mitarbeitende der Stadtpolizei Zürich erhobenen strafrechtlichen Vorwürfe können allenfalls Staatshaftungsansprüche betreffen. Bei dieser Ausgangslage ist kein Zivilanspruch im Sinne von Art. 81 Abs. 1 lit. b Ziff. 5 BGG ersichtlich. Der Beschwerdeführer wäre gehalten, sich zu seiner Beschwerdelegitimation zu äussern. Da er dies unterlässt und sich stattdessen darauf beschränkt aufzuzeigen, weshalb der vorinstanzliche Beschluss Bundesrecht verletze - womit er im Übrigen nicht durchdringen würde -, kommt er den strengen Begründungsanforderungen nicht nach. Der Beschwerdeführer ist mangels Zivilanspruch im Sinne von Art. 81 Abs. 1 lit. b Ziff. 5 BGG nicht zur Beschwerde berechtigt.</w:t>
      </w:r>
    </w:p>
    <w:p>
      <w:r>
        <w:rPr>
          <w:b/>
        </w:rPr>
        <w:t>E. 4</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Ein in der Sache nicht legitimierter Beschwerdeführer kann deshalb insbesondere nicht geltend machen, die Begründung sei materiell unzutreffend (vgl. Urteil 6B_574/2022 vom 15. Juni 2022 E. 3.1; vgl. auch BGE 136 IV 41 E. 1.4; je mit Hinweisen). Der Beschwerdeführer äussert keine solchen formellen Einwendungen, die nicht auf eine Überprüfung in der Sache abzielen, weshalb auch unter diesem Titel nicht auf die Beschwerde eingetreten werden kann.</w:t>
      </w:r>
    </w:p>
    <w:p>
      <w:r>
        <w:rPr>
          <w:b/>
        </w:rPr>
        <w:t>E. 5</w:t>
      </w:r>
    </w:p>
    <w:p>
      <w:r>
        <w:t>Auf die Beschwerde ist mangels (Begründung der) Beschwerdelegitimation im Verfahren nach Art. 108 BGG nicht einzutreten. Die Gerichtskosten sind dem Beschwerdeführer aufzuerlegen ( Art. 66 Abs. 1 BGG ). Das Gesuch um unentgeltliche Rechtspflege ist wegen offensichtlicher Aussichtslosigkeit der Beschwerde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