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7B_893/2023 vom 12. Januar 2024</w:t>
      </w:r>
    </w:p>
    <w:p>
      <w:r>
        <w:t>Bundesgericht, 2024-01-12, FR</w:t>
      </w:r>
    </w:p>
    <w:p>
      <w:r>
        <w:rPr>
          <w:b/>
        </w:rPr>
        <w:t xml:space="preserve">Quelle: </w:t>
      </w:r>
      <w:r>
        <w:t>https://mcp.opencaselaw.ch/entscheid/bger_7B_893_2023</w:t>
      </w:r>
    </w:p>
    <w:p>
      <w:r>
        <w:t>FR: TF 7B_893/2023 du 12 janvier 2024</w:t>
      </w:r>
    </w:p>
    <w:p>
      <w:r>
        <w:t>IT: TF 7B_893/2023 del 12 gennaio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principalement considéré que la DSE était fondée à exiger une avance de frais en application de l'art. 104 al. 1bis let. a de la loi bernoise sur la procédure et la juridiction administrative (LPJA/BE; RSB 155.21), dès lors que la recourante était domiciliée à l'étranger et que la décision querellée portait sur une procédure de recours interne à l'administration ensuite d'une requête déposée par la personne condamnée. Aussi, la recourante n'ayant pas versé l'avance de frais exigée malgré l'octroi d'un second délai pour ce faire et l'avertissement sur les conséquences d'un défaut de paiement de celle-ci, la DSE pouvait déclarer son recours irrecevable conformément à l'art. 104 al. 4 LPJA/BE (cf. décision attaquée, consid. 9.1 à 9.3 p. 3).</w:t>
      </w:r>
    </w:p>
    <w:p>
      <w:r>
        <w:rPr>
          <w:b/>
        </w:rPr>
        <w:t>E. 1.3</w:t>
      </w:r>
    </w:p>
    <w:p>
      <w:r>
        <w:t>Face à la motivation cantonale, la recourante se borne à relever que la décision attaquée, ainsi que celle de la DSE, seraient contraires aux principes "de la chose jugée" et "du non bis ibidem", voire à l' art. 79a CP . Elle se limite ainsi à critiquer certains pans de la motivation cantonale, sans chercher à démontrer en quoi l'application faite par l'autorité précédente du droit cantonal (cf. art. 104 LPJA/BE) serait contraire au droit fédéral, soit en particulier à l'interdiction de l'arbitraire ( art. 9 Cst. ).</w:t>
      </w:r>
    </w:p>
    <w:p>
      <w:r>
        <w:t>Ce faisant, la recourante ne critique pas le motif principal évoqué par la cour cantonale et qui, à lui seul, justifiait le rejet de son recours cantonal. Elle échoue en tout état à mettre en évidence, par une motivation conforme aux exigences en la matière, en quoi la cour cantonale aurait violé le droit fédéral.</w:t>
      </w:r>
    </w:p>
    <w:p>
      <w:r>
        <w:rPr>
          <w:b/>
        </w:rPr>
        <w:t>E. 1.4</w:t>
      </w:r>
    </w:p>
    <w:p>
      <w:r>
        <w:t>Le recours ne répondant manifestement pas aux exigences de motivation d'un recours en matière pénale au Tribunal fédéral, il doit être déclaré irrecevable selon la procédure simplifiée prévue par l' art. 108 al. 1 let. b LTF .</w:t>
      </w:r>
    </w:p>
    <w:p>
      <w:r>
        <w:rPr>
          <w:b/>
        </w:rPr>
        <w:t>E. 2</w:t>
      </w:r>
    </w:p>
    <w:p>
      <w:r>
        <w:t>La recourante, qui succombe, supportera les frais judiciaires ( art. 66 al. 1 LTF ), lesquels seront exceptionnellement fixés à 752 fr. 39 correspondant au montant total des paiements opérés à titre d'avances de frais ( art. 61 LTF ) par cette dernière depuis l'étranger les 8 décembre 2023 et 4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