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892/2024 vom 6. November 2024</w:t>
      </w:r>
    </w:p>
    <w:p>
      <w:r>
        <w:t>Bundesgericht, 2024-11-06, DE</w:t>
      </w:r>
    </w:p>
    <w:p>
      <w:r>
        <w:rPr>
          <w:b/>
        </w:rPr>
        <w:t xml:space="preserve">Quelle: </w:t>
      </w:r>
      <w:r>
        <w:t>https://mcp.opencaselaw.ch/entscheid/bger_7B_892_2024</w:t>
      </w:r>
    </w:p>
    <w:p>
      <w:r>
        <w:t>FR: TF 7B 892/2024 du 6 novembre 2024</w:t>
      </w:r>
    </w:p>
    <w:p>
      <w:r>
        <w:t>IT: TF 7B 892/2024 del 6 novembre 2024</w:t>
      </w:r>
    </w:p>
    <w:p>
      <w:pPr>
        <w:pStyle w:val="Heading2"/>
      </w:pPr>
      <w:r>
        <w:t>Regeste</w:t>
      </w:r>
    </w:p>
    <w:p>
      <w:r>
        <w:t>Rechtsverweigerung; Nichteinreten | Strafprozess</w:t>
      </w:r>
    </w:p>
    <w:p>
      <w:pPr>
        <w:pStyle w:val="Heading2"/>
      </w:pPr>
      <w:r>
        <w:t>Erwägungen</w:t>
      </w:r>
    </w:p>
    <w:p>
      <w:r>
        <w:rPr>
          <w:b/>
        </w:rPr>
        <w:t>E. 1</w:t>
      </w:r>
    </w:p>
    <w:p>
      <w:r>
        <w:t>Mit Eingabe vom 16. August 2024 führt die A.________ AG Beschwerde in Strafsachen wegen Rechtsverweigerung und Rechtsverzögerung durch die Oberstaatsanwaltschaft des Kantons Schwyz. Das Bundesgericht hat keine Vernehmlassungen eingeholt.</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Behauptung der Beschwerdeführerin, es liege eine Rechtsverweigerung bzw. Rechtsverzögerung durch die Oberstaatsanwaltschaft bzw. die Staatsanwaltschaft des Kantons Schwyz vor, bedürfte einer substanziierten Begründung (vgl. E. 2 hiervor). An einer solchen mangelt es vorliegend, da sich die Ausführungen der Beschwerdeführerin im Wesentlichen in der Wiedergabe von abstrakten rechtlichen Grundsätzen und dem Zitieren von Gesetzesbestimmungen erschöpfen. Solche appellatorische Kritik genügt den dargelegten Begründungsanforderungen von vornherein nicht. Eine rechtserhebliche Rechtsverweigerung oder Rechtsverzögerung durch die Strafverfolgungsbehörden des Kantons Schwyz ergibt sich auch nicht aus den zahlreichen Beschwerdebeilagen. Soweit nachvollziehbar betreffen die Rügen, wonach gegen die verschiedenen, von den Verwaltungsräten der Beschwerdeführerin kontrollierten juristischen Personen beim Bezirksgericht Höfe ein vom Handelsregisteramt des Kantons Schwyz initiiertes Verfahren wegen mangelhafter Besetzung der Organe hängig ist, eine zivilrechtliche Angelegenheit. Es ist deshalb nicht ersichtlich und wird auch nicht dargetan, inwiefern dieses Zivilverfahren in den Zuständigkeitsbereich der kantonalen Strafverfolgungsbehörden fallen soll. Wie in zahlreichen vergangenen Verfahren folgen die übrigen Vorbringen der Beschwerdeführerin sodann einem bekannten Muster. Soweit verständlich und nachvollziehbar, sehen sich die Beschwerdeführerin und ihre einzelzeichnungsberechtigten Verwaltungsräte als Opfer eines angeblich mehrere Kantone und Länder übergreifenden Verschwörungskomplotts, welches durch die Familie B.________ und einen Rechtsanwalt orchestriert werde (siehe zuletzt Urteil 7B_705/2024 vom 3. September 2024 E. 5.1 mit Hinweisen). Insoweit erweist sich die Beschwerde als querulatorisch im Sinne von Art. 42 Abs. 7 BGG . Darauf tritt das Bundesgericht nicht ein. Schliesslich bleibt der Hinweis, dass das Bundesgericht nicht zuständig ist für die Entgegennahme und Behandlung von Strafanzeigen. Insoweit hat sich die Beschwerdeführerin an die kantonalen Strafverfolgungsbehörden zu richten.</w:t>
      </w:r>
    </w:p>
    <w:p>
      <w:r>
        <w:rPr>
          <w:b/>
        </w:rPr>
        <w:t>E. 4</w:t>
      </w:r>
    </w:p>
    <w:p>
      <w:r>
        <w:t>Zusammengefasst genügt die Beschwerde den gesetzlichen Begründungsanforderungen offensichtlich nicht und erweist sie sich zudem in weiten Teilen als querulatorisch, weshalb auf sie im vereinfachten Verfahren nach Art. 108 Abs. 1 BGG nicht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