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7B_889/2024 vom 8. Oktober 2024</w:t>
      </w:r>
    </w:p>
    <w:p>
      <w:r>
        <w:t>Bundesgericht, 2024-10-08, FR</w:t>
      </w:r>
    </w:p>
    <w:p>
      <w:r>
        <w:rPr>
          <w:b/>
        </w:rPr>
        <w:t xml:space="preserve">Quelle: </w:t>
      </w:r>
      <w:r>
        <w:t>https://mcp.opencaselaw.ch/entscheid/bger_7B_889_2024</w:t>
      </w:r>
    </w:p>
    <w:p>
      <w:r>
        <w:t>FR: TF 7B_889/2024 du 8 octobre 2024</w:t>
      </w:r>
    </w:p>
    <w:p>
      <w:r>
        <w:t>IT: TF 7B_889/2024 del 8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w:t>
      </w:r>
    </w:p>
    <w:p>
      <w:r>
        <w:rPr>
          <w:b/>
        </w:rPr>
        <w:t>E. 1.2</w:t>
      </w:r>
    </w:p>
    <w:p>
      <w:r>
        <w:t>Face aux différents motifs ressortant de la décision entreprise (cf. arrêt attaqué, p. 8 ss), la recourante ne propose aucune motivation mettant en évidence en quoi l'autorité précédente aurait violé le droit fédéral (soit en particulier l' art. 310 CPP ) en rejetant son recours cantonal.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