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7B_886/2023 vom 27. August 2024</w:t>
      </w:r>
    </w:p>
    <w:p>
      <w:r>
        <w:t>Bundesgericht, 2024-08-27, DE</w:t>
      </w:r>
    </w:p>
    <w:p>
      <w:r>
        <w:rPr>
          <w:b/>
        </w:rPr>
        <w:t xml:space="preserve">Quelle: </w:t>
      </w:r>
      <w:r>
        <w:t>https://mcp.opencaselaw.ch/entscheid/bger_7B_886_2023</w:t>
      </w:r>
    </w:p>
    <w:p>
      <w:r>
        <w:t>FR: TF 7B_886/2023 du 27 août 2024</w:t>
      </w:r>
    </w:p>
    <w:p>
      <w:r>
        <w:t>IT: TF 7B_886/2023 del 27 agosto 2024</w:t>
      </w:r>
    </w:p>
    <w:p>
      <w:pPr>
        <w:pStyle w:val="Heading2"/>
      </w:pPr>
      <w:r>
        <w:t>Erwägungen</w:t>
      </w:r>
    </w:p>
    <w:p>
      <w:r>
        <w:rPr>
          <w:b/>
        </w:rPr>
        <w:t>E. 1.1</w:t>
      </w:r>
    </w:p>
    <w:p>
      <w:r>
        <w:t>In der vorliegenden Angelegenheit steht gemäss Art. 78 Abs. 1 BGG grundsätzlich die Beschwerde in Strafsachen offen. Die Vorinstanz hat als letzte kantonale Instanz entschieden, weshalb die Beschwerde nach Art. 80 BGG prinzipiell zulässig ist. Der Beschwerdeführer ist zudem als beschuldigte Person nach Art. 81 Abs. 1 lit. a und b Ziff. 1 BGG zur Beschwerde befugt.</w:t>
      </w:r>
    </w:p>
    <w:p>
      <w:r>
        <w:rPr>
          <w:b/>
        </w:rPr>
        <w:t>E. 1.2</w:t>
      </w:r>
    </w:p>
    <w:p>
      <w:r>
        <w:t>Der angefochtene Entscheid schliesst das Strafverfahren nicht ab; es handelt sich um einen selbstständig eröffneten Zwischenentscheid, der weder die Zuständigkeit noch den Ausstand betrifft. Gemäss Art. 93 Abs. 1 BGG ist die Beschwerde gegen solche selbstständig eröffneten Zwischenentscheide nur zulässig, wenn diese einen nicht wieder gutzumachenden Nachteil bewirken können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mit Hinweis). Nach der Rechtsprechung muss es sich beim nicht wieder gutzumachenden Nachteil gemäss Art. 93 Abs. 1 lit. a BGG um einen solchen rechtlicher Natur handeln. Dies bedeutet, dass er auch durch einen für die beschwerdeführende Partei günstigen späteren Entscheid nicht mehr behoben werden kann ( BGE 144 IV 127 E. 1.3.1). Ein lediglich tatsächlicher Nachteil wie die Verteuerung oder Verlängerung des Verfahrens genügt nicht ( BGE 142 III 798 E. 2.2). Das Bundesgericht soll sich wenn möglich nur einmal mit einer Sache befassen ( BGE 148 IV 155 E. 1.1; 147 III 159 E. 4.1; 137 IV 237 E. 1.1). Die beschwerdeführende Partei muss, wenn das nicht offensichtlich ist, im Einzelnen darlegen, inwiefern ihr ein nicht wieder gutzumachender Nachteil rechtlicher Natur drohen soll. Andernfalls kann auf die Beschwerde nicht eingetreten werden ( BGE 142 III 798 E. 2.2; 137 III 324 E. 1.1; je mit Hinweisen).</w:t>
      </w:r>
    </w:p>
    <w:p>
      <w:r>
        <w:rPr>
          <w:b/>
        </w:rPr>
        <w:t>E. 1.3</w:t>
      </w:r>
    </w:p>
    <w:p>
      <w:r>
        <w:t>Gemäss der Rechtsprechung stellt der blosse Umstand, dass ein Beweismittel, dessen Gültigkeit bestritten ist, bei den Akten bleibt, keinen nicht wiedergutzumachenden Nachteil dar, da es möglich ist, diese Rüge bis zum endgültigen Abschluss des Verfahrens zu erneuern. Insbesondere kann die Frage der Rechtmässigkeit von Beweismitteln dem Sachgericht vorgelegt werden ( Art. 339 Abs. 2 lit. d StPO ), welches in der Lage ist, zwischen rechtmässigen und unrechtmässigen Beweismitteln zu unterscheiden und sich bei der Würdigung ausschliesslich auf Erstere zu stützen. Das erstinstanzliche Urteil kann im Rahmen einer Berufung angefochten werden (vgl. Art. 398 StPO ), und als letztes Mittel kann die beschuldigte Person dieses Urteil beim Bundesgericht anfechten ( BGE 144 IV 90 E. 1.1.3; 143 IV 387 E. 4.4; 141 IV 284 E. 2.2; teils mit weiteren Hinweisen). Von dieser Regel bestehen jedoch Ausnahmen. Eine solche liegt insbesondere vor, wenn das Gesetz ausdrücklich die sofortige Rückgabe oder Entfernung aus den Akten bzw. Vernichtung rechtswidrig erlangter Beweise vorsieht (vgl. z.B. Art. 248 Abs. 2, Art. 271 Abs. 3, Art. 277 und Art. 289 Abs. 6 StPO ). Ebenso verhält es sich, wenn aufgrund des Gesetzes oder der Umstände des Einzelfalles die Rechtswidrigkeit des Beweismittels ohne Weiteres feststeht und die betroffene Person ein besonders gewichtiges rechtlich geschütztes Interesse an der unverzüglichen Feststellung der Unverwertbarkeit des Beweises geltend macht ( BGE 144 IV 127 E. 1.3.1; 143 IV 387 E. 4.4; 141 IV 284 E. 2.3; je mit Hinweisen).</w:t>
      </w:r>
    </w:p>
    <w:p>
      <w:r>
        <w:rPr>
          <w:b/>
        </w:rPr>
        <w:t>E. 1.4</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1.5</w:t>
      </w:r>
    </w:p>
    <w:p>
      <w:r>
        <w:t>Der Beschwerdeführer bringt vor, er werde durch die Weigerung der Staatsanwaltschaft, das Gutachten aus den Akten zu entfernen, "unmittelbar tangiert". Er sehe sich als Beschuldigter in der Strafuntersuchung mit einem Beweismittel konfrontiert, das nicht rechtskonform erhoben worden sei. Da dieses Beweismittel gegen ihn verwendet worden sei und auch künftig noch verwendet werde, habe es einen direkten Einfluss auf seine Rechtsstellung im Strafverfahren. Insofern bestehe für ihn "ein rechtlich geschütztes Interesse" daran, dass ein "nicht neutrales, fehlerhaftes, nicht nachvollziehbares" psychiatrisches Gutachten aus den Untersuchungsakten zu entfernen sei. Ansonsten würde ihm weiterhin ein nicht wieder gutzumachender Rechtsnachteil im Strafverfahren drohen, auch wenn ihm kein Beweisverlust bevorstehe. Damit tut der Beschwerdeführer keine Ausnahme im Sinne der hiervor erwähnten Rechtsprechung zu Art. 93 Abs. 1 lit. a BGG dar, bei der das Bundesgericht bereits im Vorverfahren über ein allfälliges Beweisverwertungsverbot abschliessend zu entscheiden hätte. Der Beschwerdeführer geht fehl, wenn er das Erfordernis des nicht wieder gutzumachenden Nachteils im Sinne von Art. 93 Abs. 1 lit. a BGG mit dem rechtlich geschützten Interesse nach Art. 382 Abs. 1 StPO gleichzusetzen scheint (vgl. BGE 143 IV 475 E. 2.9, auf den sich der Beschwerdeführer in diesem Zusammenhang beruft).</w:t>
      </w:r>
    </w:p>
    <w:p>
      <w:r>
        <w:rPr>
          <w:b/>
        </w:rPr>
        <w:t>E. 1.6</w:t>
      </w:r>
    </w:p>
    <w:p>
      <w:r>
        <w:t>Die Verwertung des Gutachtens erscheint auch nicht von vorneherein offensichtlich unzulässig: Die Vorinstanz geht davon aus, dass dem Gutachten vom 2. August 2021 weder der Beizug von der Hilfsperson C.________ noch deren Beitrag entnommen werden könne. Entsprechend seien die Transparenzvorschriften gemäss Art. 187 Abs. 1 StPO verletzt, was vorliegend lediglich eine Verletzung einer Ordnungsvorschrift darstelle, welche die Verwertbarkeit des Gutachtens nicht in Frage stelle ( Art. 141 Abs. 3 StPO ). Ohnehin sei zu erwarten, dass die Transparenz auch nachträglich noch hergestellt werden könne (vgl. Art. 189 lit. a StPO ). Im Weiteren - so die Vorinstanz - habe im kantonalen Beschwerdeverfahren keine abschliessende Beurteilung über die Schlüssigkeit des Gutachtens zu erfolgen. Entgegen der Ansicht des Beschwerdeführers weise das Gutachten jedenfalls keinen offensichtlichen oder schweren Mangel auf. Somit würden keine besonderen Umstände vorliegen, derentwegen das Gutachten aus den Akten zu entfernen wäre. Der Beschwerdeführer dringt nicht durch, wenn er ohne nähere Auseinandersetzung mit den vorinstanzlichen Erwägungen behauptet, C.________ sei "bei der Ausarbeitung des Gutachtens" nicht als Hilfsperson tätig gewesen, sondern als delegierte Sachverständige. Gleiches gilt, soweit er vorbringt, die Vorinstanz hätte das Gutachten inhaltlich "eingehend" prüfen müssen (vgl. BGE 142 IV 49 E. 2.1.3; 141 IV 369 E. 6.1). Ob der vorinstanzliche Schluss, die gegenständliche Nichteinhaltung der Transparenzvorschriften gemäss Art. 187 Abs. 1 (Satz 2) StPO verletze bloss eine Ordnungsvorschrift, zutrifft, wird das Sachgericht zu prüfen haben. Der Beschwerdeführer legt nicht hinreichend dar und es ist auch nicht ersichtlich, inwiefern eine Verletzung der genannten Bestimmung die absolute Unverwertbarkeit eines Gutachtens im Sinne von Art. 141 Abs. 1 StPO nach sich ziehen sollte. Auch eine angebliche Verletzung einer (einfachen) Gültigkeitsvorschrift im Sinne von Art. 141 Abs. 2 StPO wird in der Beschwerde nicht überzeugend begründet, geschweige denn, dass eine allfällige Interessenabwägung gegen eine Verwertung des Gutachtens sprechen würde.</w:t>
      </w:r>
    </w:p>
    <w:p>
      <w:r>
        <w:rPr>
          <w:b/>
        </w:rPr>
        <w:t>E. 1.7</w:t>
      </w:r>
    </w:p>
    <w:p>
      <w:r>
        <w:t>Nach dem Gesagten ist der nicht wieder gutzumachende Rechtsnachteil im Sinne von Art. 93 Abs. 1 lit. a BGG zu verneinen. Es wird Sache des für den Endentscheid zuständigen Sachgerichts sein, gegebenenfalls über die vom Beschwerdeführer akzessorisch aufgeworfenen Beweisverwertungsfragen zu befinden (vgl. Art. 141 Abs. 2 bzw. Abs. 3 in Verbindung mit Art. 339 Abs. 2 lit. d StPO ).</w:t>
      </w:r>
    </w:p>
    <w:p>
      <w:r>
        <w:rPr>
          <w:b/>
        </w:rPr>
        <w:t>E. 2</w:t>
      </w:r>
    </w:p>
    <w:p>
      <w:r>
        <w:t>Auf die Beschwerde ist nicht einzutreten. Das Gesuch um unentgeltliche Rechtspflege ist abzuweisen, da die Beschwerde von vornherein aussichtslos war ( Art. 64 Abs. 1 BGG ). Bei diesem Ausgang des Verfahrens wird der Beschwerdeführer kostenpflichtig ( Art. 66 Abs. 1 BGG ). Seiner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