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7B_881/2024 vom 4. Juni 2025</w:t>
      </w:r>
    </w:p>
    <w:p>
      <w:r>
        <w:t>Bundesgericht, 2025-06-04, DE</w:t>
      </w:r>
    </w:p>
    <w:p>
      <w:r>
        <w:rPr>
          <w:b/>
        </w:rPr>
        <w:t xml:space="preserve">Quelle: </w:t>
      </w:r>
      <w:r>
        <w:t>https://mcp.opencaselaw.ch/entscheid/bger_7B_881_2024</w:t>
      </w:r>
    </w:p>
    <w:p>
      <w:r>
        <w:t>FR: TF 7B_881/2024 du 4 juin 2025</w:t>
      </w:r>
    </w:p>
    <w:p>
      <w:r>
        <w:t>IT: TF 7B_881/2024 del 4 giugno 2025</w:t>
      </w:r>
    </w:p>
    <w:p>
      <w:pPr>
        <w:pStyle w:val="Heading2"/>
      </w:pPr>
      <w:r>
        <w:t>Erwägungen</w:t>
      </w:r>
    </w:p>
    <w:p>
      <w:r>
        <w:rPr>
          <w:b/>
        </w:rPr>
        <w:t>E. 1</w:t>
      </w:r>
    </w:p>
    <w:p>
      <w:r>
        <w:t>Das Kantonsgericht Freiburg, Strafkammer, forderte A.________ mit Verfügung vom 4. Juli 2024 auf, innert einer Frist von 20 Tagen eine Sicherheit für allfällige Kosten in der Höhe von Fr. 500.-- zu leisten, ansonsten auf seine Beschwerde gegen die Nichtanhandnahme der Staatsanwaltschaft des Kantons Freiburg vom 12. Juni 2024 nicht eingetreten werde.</w:t>
      </w:r>
    </w:p>
    <w:p>
      <w:r>
        <w:t>Mit Eingabe vom 12. August 2024 führt A.________ Beschwerde in Strafsachen an das Bundesgericht. Er beantragt unter anderem die Aufhebung der Verfügung des Kantonsgerichts vom 4. Juli 2024 wegen Nichtigkeit.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blosse Hinweis des Beschwerdeführers auf die fälschlicherweise fehlende Rechtsmittelbelehrung in der angefochtenen Verfügung lässt diese nicht als nichtig erscheinen. Der Beschwerdeführer hat, entgegen seiner Auffassung, innert der gesetzlichen Rechtsmittelfrist beim Bundesgericht Beschwerde erhoben. Es ist demnach nicht ersichtlich, inwiefern ihm durch die fehlende Rechtsmittelbelehrung ein Rechtsnachteil erwachsen sein soll. Ausschlaggebend wäre aber, dass die rechtsunterworfene Person im konkreten Fall durch die mangelhafte Eröffnung tatsächlich in die Irre geführt und benachteiligt wird ( BGE 132 I 249 E. 6 ; 122 I 97 E. 3a/aa). Dies trifft hier offensichtlich nicht zu.</w:t>
      </w:r>
    </w:p>
    <w:p>
      <w:r>
        <w:t>Der Beschwerdeführer legt nicht dar, inwiefern die ihm mit der angefochtenen Verfügung vom 4. Juli 2024 angesetzte Frist zur Sicherheitsleistung nach Art. 383 Abs. 1 StPO in tatsächlicher oder rechtlicher Hinsicht fehlerhaft sein soll. Damit vermag er den Begründungsanforderungen vor Bundesgericht nicht nachzukommen. Der Begründungsmangel ist offensichtlich (vgl. E. 2 hiervor), weshalb auf die Beschwerde im vereinfachten Verfahren nach Art. 108 BGG nicht einzutreten ist. Im Übrigen hat der Beschwerdeführer, wie von ihm selbst ausgeführt, die geforderte Sicherheitsleistung in der Höhe von Fr. 500.-- geleistet. Folglich fehlt es ihm auch an einem Rechtsschutzinteresse, weshalb auf die Beschwerde ebenfalls nicht einzutreten ist. Das sinngemässe Sistierungsgesuch ist als gegenstandslos abzuschreiben.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