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7B_881/2023 vom 24. November 2023</w:t>
      </w:r>
    </w:p>
    <w:p>
      <w:r>
        <w:t>Bundesgericht, 2023-11-24, FR</w:t>
      </w:r>
    </w:p>
    <w:p>
      <w:r>
        <w:rPr>
          <w:b/>
        </w:rPr>
        <w:t xml:space="preserve">Quelle: </w:t>
      </w:r>
      <w:r>
        <w:t>https://mcp.opencaselaw.ch/entscheid/bger_7B_881_2023</w:t>
      </w:r>
    </w:p>
    <w:p>
      <w:r>
        <w:t>FR: TF 7B_881/2023 du 24 novembre 2023</w:t>
      </w:r>
    </w:p>
    <w:p>
      <w:r>
        <w:t>IT: TF 7B_881/2023 del 24 novembre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fondés sur des condamnations définitives et exécutoires, les ordres d'exécution rendus les 25 janvier et 2 août 2023 par le SAPEM n'avaient pas le caractère d'une décision et n'étaient en principe pas sujets à recours. Le recourant n'établissant pas la réalisation d'une exception à l'irrecevabilité du recours contre un ordre d'exécution d'une sanction pénale, son recours était irrecevable (cf. arrêt attaqué, consid. 1.2.1 ss p. 5 s.).</w:t>
      </w:r>
    </w:p>
    <w:p>
      <w:r>
        <w:rPr>
          <w:b/>
        </w:rPr>
        <w:t>E. 1.3</w:t>
      </w:r>
    </w:p>
    <w:p>
      <w:r>
        <w:t>Face à la motivation cantonale, le recourant se limite à solliciter du Tribunal fédéral qu'il examine sa situation "en détail" s'agissant du "solde de peine restant à purger" compte tenu des peines qu'il aurait déjà exécutées. Selon lui, la cour cantonale aurait dû constater une exception à l'irrecevabilité de son recours, dans la mesure où les ordres d'exécution querellés ne tiendraient pas compte du solde de la peine restant à exécuter, ce qui l'empêcherait de répondre aux critères d'éligibilité pour exécuter ses peines sous la forme de travaux d'intérêt général et porterait ainsi atteinte à ses droits fondamentaux, soit à sa liberté personnelle.</w:t>
      </w:r>
    </w:p>
    <w:p>
      <w:r>
        <w:t>Cela étant, le recourant n'explique nullement en quoi l'ordre d'exécution du 25 janvier 2023 aurait été incorrect s'agissant du décompte des jours de peine privative de liberté restant à purger. Il ne formule en outre aucune critique sur l'ordre d'exécution du 2 août 2023 qui, pour sa part, ne précise pas le nombre de jours déjà purgés sous la forme de la surveillance électronique. Enfin, il ne soulève aucun grief quant à l'injonction de la cour cantonale au SAPEM d'établir un décompte précis des jours déjà purgés indiquant la date à laquelle l'ensemble des peines prononcées seront exécutées (cf. arrêt attaqué, consid. 1.2.2 p. 5).</w:t>
      </w:r>
    </w:p>
    <w:p>
      <w:r>
        <w:t>Aussi, le recourant échoue à mettre en évidence, par une motivation conforme aux exigences en la matière, en quoi l'autorité précédente aurait violé le droit, respectivement porté atteinte à ses droits fondamentaux, en déclarant son recours cantonal irrecevable.</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conformément aux art. 65 al. 3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