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7B_880/2025 vom 2. Oktober 2025</w:t>
      </w:r>
    </w:p>
    <w:p>
      <w:r>
        <w:t>Bundesgericht, 2025-10-02, DE</w:t>
      </w:r>
    </w:p>
    <w:p>
      <w:r>
        <w:rPr>
          <w:b/>
        </w:rPr>
        <w:t xml:space="preserve">Quelle: </w:t>
      </w:r>
      <w:r>
        <w:t>https://mcp.opencaselaw.ch/entscheid/bger_7B_880_2025</w:t>
      </w:r>
    </w:p>
    <w:p>
      <w:r>
        <w:t>FR: TF 7B_880/2025 du 2 octobre 2025</w:t>
      </w:r>
    </w:p>
    <w:p>
      <w:r>
        <w:t>IT: TF 7B_880/2025 del 2 ottobre 2025</w:t>
      </w:r>
    </w:p>
    <w:p>
      <w:pPr>
        <w:pStyle w:val="Heading2"/>
      </w:pPr>
      <w:r>
        <w:t>Erwägungen</w:t>
      </w:r>
    </w:p>
    <w:p>
      <w:r>
        <w:rPr>
          <w:b/>
        </w:rPr>
        <w:t>E. 1</w:t>
      </w:r>
    </w:p>
    <w:p>
      <w:r>
        <w:t>Mit Verfügung vom 17. Juni 2025 wies die Staatsanwaltschaft IIl des Kantons Zürich einen Antrag von A.________ auf Wiederaufnahme der Strafuntersuchung gegen B.________ betreffend ungetreue Geschäftsbesorgung ab. Dagegen wandte sich A.________ an das Obergericht des Kantons Zürich, welches mit Verfügung vom 3. September 2025 das Gesuch um Wiederherstellung der Beschwerdefrist abwies und auf die Beschwerde nicht eintrat.</w:t>
      </w:r>
    </w:p>
    <w:p>
      <w:r>
        <w:rPr>
          <w:b/>
        </w:rPr>
        <w:t>E. 2</w:t>
      </w:r>
    </w:p>
    <w:p>
      <w:r>
        <w:t>A.________ gelangt mit Beschwerde in Strafsachen an das Bundesgericht.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erwägt, die angefochtene Verfügung vom 17. Juni 2025 sei dem Beschwerdeführer am 18. Juni 2025 zugestellt worden, womit die 10-tägige Frist zur Einreichung einer Beschwerde am 19. Juni 2025 zu laufen begonnen und am Montag, 30. Juni 2025 geendet habe. Die am 24. oder 25. Juli 2025 der Post übergebene Beschwerde sei somit, wie auch der Beschwerdeführer einräume, verspätet. Soweit er sinngemäss ein Gesuch um Wiederherstellung der Beschwerdefrist stelle, sei dieses abzuweisen: Gemäss seinen Ausführungen habe er seine Freundin beauftragt, das Schreiben auszudrucken und zu verschicken. Damit - so die Vorinstanz - habe er eine Hilfsperson beigezogen, deren Verhalten er sich anrechnen lassen müsse. Der Umstand, dass das ausgedruckte Schreiben im Handschuhfach des Autos vergessen und deshalb nicht rechtzeitig versandt worden sei, könne aus rechtlicher Sicht nicht als schuldlos bezeichnet werden, weshalb kein Wiederherstellungsgrund im Sinne von Art. 94 Abs. 1 StPO gegeben sei.</w:t>
      </w:r>
    </w:p>
    <w:p>
      <w:r>
        <w:rPr>
          <w:b/>
        </w:rPr>
        <w:t>E. 4.2</w:t>
      </w:r>
    </w:p>
    <w:p>
      <w:r>
        <w:t>Was am angefochtenen Entscheid in tatsächlicher oder rechtlicher Hinsicht fehlerhaft sein sollte, ergibt sich aus der Beschwerde nicht. Die blosse Anrufung von Gesetzes- und Verfassungsbestimmungen genügt hierfür nicht. Dass und inwiefern die Vorinstanz bei ihren tatsächlichen Feststellungen in Willkür verfallen wäre und/oder beim von ihr festgestellten Sachverhalt gegen das Recht verstossen hätte, legt der Beschwerdeführer jedenfalls nicht dar. Damit vermag er den Begründungsanforderungen vor Bundesgericht nicht nachzukommen. Der Begründungsmangel ist offensichtlich ( Art. 42 Abs. 2, Art. 106 Abs. 2 BGG ).</w:t>
      </w:r>
    </w:p>
    <w:p>
      <w:r>
        <w:rPr>
          <w:b/>
        </w:rPr>
        <w:t>E. 5</w:t>
      </w:r>
    </w:p>
    <w:p>
      <w:r>
        <w:t>Auf die Beschwerde ist im Verfahren nach Art. 108 BGG nicht einzutreten. Damit wird das Gesuch des Beschwerdeführers um "aufschiebende Wirkung" gegenstandslos.</w:t>
      </w:r>
    </w:p>
    <w:p>
      <w:r>
        <w:t>Das vom Beschwerdeführer "eventualiter" gestellte Gesuch um unentgeltliche Rechtspflege ist wegen Aussichtslosigkeit der Beschwerde abzuweisen ( Art. 64 Abs. 1 BGG ). Ihm sind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