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7B_87/2026 vom 11. Februar 2026</w:t>
      </w:r>
    </w:p>
    <w:p>
      <w:r>
        <w:t>Bundesgericht, 2026-02-11, FR</w:t>
      </w:r>
    </w:p>
    <w:p>
      <w:r>
        <w:rPr>
          <w:b/>
        </w:rPr>
        <w:t xml:space="preserve">Quelle: </w:t>
      </w:r>
      <w:r>
        <w:t>https://mcp.opencaselaw.ch/entscheid/bger_7B_87_2026</w:t>
      </w:r>
    </w:p>
    <w:p>
      <w:r>
        <w:t>FR: TF 7B_87/2026 du 11 février 2026</w:t>
      </w:r>
    </w:p>
    <w:p>
      <w:r>
        <w:t>IT: TF 7B_87/2026 del 11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9 février 2026, A.________ déclare retirer le recours interjeté dans la cause 7B_87/2026.</w:t>
      </w:r>
    </w:p>
    <w:p>
      <w:r>
        <w:t>Il y a lieu d'en prendre acte et de rayer la cause du rôle ( art. 32 al. 2 LTF ).</w:t>
      </w:r>
    </w:p>
    <w:p>
      <w:r>
        <w:rPr>
          <w:b/>
        </w:rPr>
        <w:t>E. 2</w:t>
      </w:r>
    </w:p>
    <w:p>
      <w:r>
        <w:t>Le recourant, considéré comme la partie succombante, supportera les frais judiciaires, lesquels seront fixés en tenant compte des actes d'instruction effectués jusque-là ( art. 5 al. 2 PCF , par renvoi de l' art. 71 LTF ;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